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napToGrid w:val="0"/>
        <w:spacing w:before="0" w:beforeAutospacing="0" w:after="0" w:afterAutospacing="0" w:line="480" w:lineRule="auto"/>
        <w:ind w:firstLine="844" w:firstLineChars="192"/>
        <w:jc w:val="center"/>
        <w:rPr>
          <w:rFonts w:hint="eastAsia" w:ascii="黑体" w:hAnsi="黑体" w:eastAsia="黑体" w:cs="黑体"/>
          <w:kern w:val="2"/>
          <w:sz w:val="44"/>
          <w:szCs w:val="44"/>
        </w:rPr>
      </w:pPr>
    </w:p>
    <w:p>
      <w:pPr>
        <w:jc w:val="center"/>
        <w:rPr>
          <w:rFonts w:ascii="黑体" w:eastAsia="黑体"/>
          <w:color w:val="000000"/>
          <w:sz w:val="52"/>
          <w:szCs w:val="52"/>
        </w:rPr>
      </w:pPr>
      <w:r>
        <w:rPr>
          <w:rFonts w:hint="eastAsia" w:ascii="黑体" w:eastAsia="黑体"/>
          <w:color w:val="000000"/>
          <w:sz w:val="52"/>
          <w:szCs w:val="52"/>
        </w:rPr>
        <w:t>202</w:t>
      </w:r>
      <w:r>
        <w:rPr>
          <w:rFonts w:hint="eastAsia" w:ascii="黑体" w:eastAsia="黑体"/>
          <w:color w:val="000000"/>
          <w:sz w:val="52"/>
          <w:szCs w:val="52"/>
          <w:lang w:val="en-US" w:eastAsia="zh-CN"/>
        </w:rPr>
        <w:t>2建设工程管理</w:t>
      </w:r>
      <w:r>
        <w:rPr>
          <w:rFonts w:hint="eastAsia" w:ascii="黑体" w:eastAsia="黑体"/>
          <w:color w:val="000000"/>
          <w:sz w:val="52"/>
          <w:szCs w:val="52"/>
        </w:rPr>
        <w:t>专业人才培养方案</w:t>
      </w:r>
    </w:p>
    <w:p>
      <w:pPr>
        <w:jc w:val="center"/>
        <w:rPr>
          <w:rFonts w:ascii="黑体" w:eastAsia="黑体"/>
          <w:color w:val="000000"/>
          <w:sz w:val="52"/>
          <w:szCs w:val="52"/>
        </w:rPr>
      </w:pPr>
    </w:p>
    <w:p>
      <w:pPr>
        <w:jc w:val="center"/>
        <w:rPr>
          <w:rFonts w:ascii="黑体" w:eastAsia="黑体"/>
          <w:color w:val="000000"/>
          <w:sz w:val="52"/>
          <w:szCs w:val="52"/>
        </w:rPr>
      </w:pPr>
    </w:p>
    <w:p>
      <w:pPr>
        <w:jc w:val="center"/>
        <w:rPr>
          <w:rFonts w:ascii="黑体" w:eastAsia="黑体"/>
          <w:color w:val="000000"/>
          <w:sz w:val="52"/>
          <w:szCs w:val="52"/>
        </w:rPr>
      </w:pPr>
    </w:p>
    <w:p>
      <w:pPr>
        <w:pStyle w:val="2"/>
        <w:outlineLvl w:val="9"/>
        <w:rPr>
          <w:rFonts w:ascii="黑体" w:eastAsia="黑体"/>
          <w:color w:val="000000"/>
          <w:sz w:val="52"/>
          <w:szCs w:val="52"/>
        </w:rPr>
      </w:pPr>
    </w:p>
    <w:p>
      <w:pPr>
        <w:pStyle w:val="2"/>
        <w:outlineLvl w:val="9"/>
      </w:pPr>
    </w:p>
    <w:p>
      <w:pPr>
        <w:jc w:val="center"/>
        <w:rPr>
          <w:rFonts w:ascii="黑体" w:eastAsia="黑体"/>
          <w:color w:val="000000"/>
          <w:sz w:val="52"/>
          <w:szCs w:val="52"/>
        </w:rPr>
      </w:pPr>
    </w:p>
    <w:p>
      <w:pPr>
        <w:jc w:val="center"/>
        <w:rPr>
          <w:rFonts w:ascii="黑体" w:eastAsia="黑体"/>
          <w:color w:val="000000"/>
          <w:sz w:val="52"/>
          <w:szCs w:val="52"/>
        </w:rPr>
      </w:pPr>
    </w:p>
    <w:p>
      <w:pPr>
        <w:jc w:val="center"/>
        <w:rPr>
          <w:rFonts w:ascii="黑体" w:eastAsia="黑体"/>
          <w:color w:val="000000"/>
          <w:sz w:val="36"/>
          <w:szCs w:val="36"/>
        </w:rPr>
      </w:pPr>
      <w:r>
        <w:rPr>
          <w:rFonts w:hint="eastAsia" w:ascii="黑体" w:eastAsia="黑体"/>
          <w:color w:val="000000"/>
          <w:sz w:val="36"/>
          <w:szCs w:val="36"/>
        </w:rPr>
        <w:t>二0二</w:t>
      </w:r>
      <w:r>
        <w:rPr>
          <w:rFonts w:hint="eastAsia" w:ascii="黑体" w:eastAsia="黑体"/>
          <w:color w:val="000000"/>
          <w:sz w:val="36"/>
          <w:szCs w:val="36"/>
          <w:lang w:val="en-US" w:eastAsia="zh-CN"/>
        </w:rPr>
        <w:t>二</w:t>
      </w:r>
      <w:r>
        <w:rPr>
          <w:rFonts w:hint="eastAsia" w:ascii="黑体" w:eastAsia="黑体"/>
          <w:color w:val="000000"/>
          <w:sz w:val="36"/>
          <w:szCs w:val="36"/>
        </w:rPr>
        <w:t>年</w:t>
      </w:r>
      <w:r>
        <w:rPr>
          <w:rFonts w:hint="eastAsia" w:ascii="黑体" w:eastAsia="黑体"/>
          <w:color w:val="000000"/>
          <w:sz w:val="36"/>
          <w:szCs w:val="36"/>
          <w:lang w:val="en-US" w:eastAsia="zh-CN"/>
        </w:rPr>
        <w:t>八</w:t>
      </w:r>
      <w:r>
        <w:rPr>
          <w:rFonts w:hint="eastAsia" w:ascii="黑体" w:eastAsia="黑体"/>
          <w:color w:val="000000"/>
          <w:sz w:val="36"/>
          <w:szCs w:val="36"/>
        </w:rPr>
        <w:t>月</w:t>
      </w:r>
    </w:p>
    <w:p>
      <w:pPr>
        <w:rPr>
          <w:rFonts w:ascii="黑体" w:eastAsia="黑体"/>
          <w:color w:val="000000"/>
          <w:sz w:val="52"/>
          <w:szCs w:val="52"/>
        </w:rPr>
      </w:pPr>
    </w:p>
    <w:p>
      <w:pPr>
        <w:pStyle w:val="4"/>
      </w:pPr>
    </w:p>
    <w:p>
      <w:pPr>
        <w:pStyle w:val="4"/>
      </w:pPr>
    </w:p>
    <w:p>
      <w:pPr>
        <w:pStyle w:val="4"/>
      </w:pPr>
    </w:p>
    <w:p>
      <w:pPr>
        <w:pStyle w:val="9"/>
        <w:adjustRightInd w:val="0"/>
        <w:snapToGrid w:val="0"/>
        <w:spacing w:before="0" w:beforeAutospacing="0" w:after="0" w:afterAutospacing="0" w:line="480" w:lineRule="auto"/>
        <w:ind w:firstLine="844" w:firstLineChars="192"/>
        <w:jc w:val="center"/>
        <w:rPr>
          <w:rFonts w:hint="eastAsia" w:ascii="黑体" w:hAnsi="黑体" w:eastAsia="黑体" w:cs="黑体"/>
          <w:kern w:val="2"/>
          <w:sz w:val="44"/>
          <w:szCs w:val="44"/>
        </w:rPr>
      </w:pPr>
    </w:p>
    <w:p>
      <w:pPr>
        <w:pStyle w:val="9"/>
        <w:adjustRightInd w:val="0"/>
        <w:snapToGrid w:val="0"/>
        <w:spacing w:before="0" w:beforeAutospacing="0" w:after="0" w:afterAutospacing="0" w:line="480" w:lineRule="auto"/>
        <w:ind w:firstLine="844" w:firstLineChars="192"/>
        <w:jc w:val="center"/>
        <w:rPr>
          <w:rFonts w:hint="eastAsia" w:ascii="黑体" w:hAnsi="黑体" w:eastAsia="黑体" w:cs="黑体"/>
          <w:kern w:val="2"/>
          <w:sz w:val="44"/>
          <w:szCs w:val="44"/>
        </w:rPr>
      </w:pPr>
    </w:p>
    <w:p>
      <w:pPr>
        <w:pStyle w:val="9"/>
        <w:adjustRightInd w:val="0"/>
        <w:snapToGrid w:val="0"/>
        <w:spacing w:before="0" w:beforeAutospacing="0" w:after="0" w:afterAutospacing="0" w:line="480" w:lineRule="auto"/>
        <w:ind w:firstLine="844" w:firstLineChars="192"/>
        <w:jc w:val="center"/>
        <w:rPr>
          <w:rFonts w:hint="eastAsia" w:ascii="黑体" w:hAnsi="黑体" w:eastAsia="黑体" w:cs="黑体"/>
          <w:kern w:val="2"/>
          <w:sz w:val="44"/>
          <w:szCs w:val="44"/>
        </w:rPr>
      </w:pPr>
    </w:p>
    <w:p>
      <w:pPr>
        <w:pStyle w:val="9"/>
        <w:adjustRightInd w:val="0"/>
        <w:snapToGrid w:val="0"/>
        <w:spacing w:before="0" w:beforeAutospacing="0" w:after="0" w:afterAutospacing="0" w:line="480" w:lineRule="auto"/>
        <w:ind w:firstLine="844" w:firstLineChars="192"/>
        <w:jc w:val="center"/>
        <w:rPr>
          <w:rFonts w:hint="eastAsia" w:ascii="黑体" w:hAnsi="黑体" w:eastAsia="黑体" w:cs="黑体"/>
          <w:kern w:val="2"/>
          <w:sz w:val="44"/>
          <w:szCs w:val="44"/>
        </w:rPr>
      </w:pPr>
    </w:p>
    <w:p>
      <w:pPr>
        <w:pStyle w:val="9"/>
        <w:adjustRightInd w:val="0"/>
        <w:snapToGrid w:val="0"/>
        <w:spacing w:before="0" w:beforeAutospacing="0" w:after="0" w:afterAutospacing="0" w:line="480" w:lineRule="auto"/>
        <w:ind w:firstLine="844" w:firstLineChars="192"/>
        <w:jc w:val="center"/>
        <w:rPr>
          <w:rFonts w:hint="eastAsia" w:ascii="黑体" w:hAnsi="黑体" w:eastAsia="黑体" w:cs="黑体"/>
          <w:kern w:val="2"/>
          <w:sz w:val="44"/>
          <w:szCs w:val="44"/>
        </w:rPr>
      </w:pPr>
    </w:p>
    <w:sdt>
      <w:sdtPr>
        <w:rPr>
          <w:rFonts w:hint="eastAsia" w:ascii="黑体" w:hAnsi="黑体" w:eastAsia="黑体" w:cs="黑体"/>
          <w:kern w:val="2"/>
          <w:sz w:val="28"/>
          <w:szCs w:val="28"/>
          <w:lang w:val="en-US" w:eastAsia="zh-CN" w:bidi="ar-SA"/>
        </w:rPr>
        <w:id w:val="147474376"/>
        <w15:color w:val="DBDBDB"/>
        <w:docPartObj>
          <w:docPartGallery w:val="Table of Contents"/>
          <w:docPartUnique/>
        </w:docPartObj>
      </w:sdtPr>
      <w:sdtEndPr>
        <w:rPr>
          <w:rFonts w:hint="eastAsia" w:ascii="宋体" w:hAnsi="宋体" w:eastAsia="宋体" w:cs="Times New Roman"/>
          <w:b/>
          <w:kern w:val="0"/>
          <w:sz w:val="24"/>
          <w:szCs w:val="40"/>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8"/>
              <w:szCs w:val="28"/>
            </w:rPr>
          </w:pPr>
          <w:r>
            <w:rPr>
              <w:rFonts w:hint="eastAsia" w:ascii="黑体" w:hAnsi="黑体" w:eastAsia="黑体" w:cs="黑体"/>
              <w:sz w:val="28"/>
              <w:szCs w:val="28"/>
            </w:rPr>
            <w:t>目</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录</w:t>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Cs w:val="40"/>
            </w:rPr>
            <w:fldChar w:fldCharType="begin"/>
          </w:r>
          <w:r>
            <w:rPr>
              <w:rFonts w:hint="eastAsia"/>
              <w:b/>
              <w:szCs w:val="40"/>
            </w:rPr>
            <w:instrText xml:space="preserve">TOC \o "1-2" \h \u </w:instrText>
          </w:r>
          <w:r>
            <w:rPr>
              <w:rFonts w:hint="eastAsia"/>
              <w:b/>
              <w:szCs w:val="40"/>
            </w:rPr>
            <w:fldChar w:fldCharType="separate"/>
          </w:r>
          <w:r>
            <w:rPr>
              <w:rFonts w:hint="eastAsia"/>
              <w:b/>
              <w:sz w:val="24"/>
              <w:szCs w:val="24"/>
            </w:rPr>
            <w:fldChar w:fldCharType="begin"/>
          </w:r>
          <w:r>
            <w:rPr>
              <w:rFonts w:hint="eastAsia"/>
              <w:b/>
              <w:sz w:val="24"/>
              <w:szCs w:val="24"/>
            </w:rPr>
            <w:instrText xml:space="preserve"> HYPERLINK \l _Toc11678 </w:instrText>
          </w:r>
          <w:r>
            <w:rPr>
              <w:rFonts w:hint="eastAsia"/>
              <w:b/>
              <w:sz w:val="24"/>
              <w:szCs w:val="24"/>
            </w:rPr>
            <w:fldChar w:fldCharType="separate"/>
          </w:r>
          <w:r>
            <w:rPr>
              <w:rFonts w:hint="eastAsia"/>
              <w:b/>
              <w:sz w:val="24"/>
              <w:szCs w:val="24"/>
              <w:lang w:val="en-US" w:eastAsia="zh-CN"/>
            </w:rPr>
            <w:t>一、专业名称及代码</w:t>
          </w:r>
          <w:r>
            <w:rPr>
              <w:b/>
              <w:sz w:val="24"/>
              <w:szCs w:val="24"/>
            </w:rPr>
            <w:tab/>
          </w:r>
          <w:r>
            <w:rPr>
              <w:b/>
              <w:sz w:val="24"/>
              <w:szCs w:val="24"/>
            </w:rPr>
            <w:fldChar w:fldCharType="begin"/>
          </w:r>
          <w:r>
            <w:rPr>
              <w:b/>
              <w:sz w:val="24"/>
              <w:szCs w:val="24"/>
            </w:rPr>
            <w:instrText xml:space="preserve"> PAGEREF _Toc11678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_Toc32278 </w:instrText>
          </w:r>
          <w:r>
            <w:rPr>
              <w:rFonts w:hint="eastAsia"/>
              <w:b/>
              <w:sz w:val="24"/>
              <w:szCs w:val="24"/>
            </w:rPr>
            <w:fldChar w:fldCharType="separate"/>
          </w:r>
          <w:r>
            <w:rPr>
              <w:rFonts w:hint="eastAsia" w:ascii="Times New Roman" w:hAnsi="Times New Roman" w:cs="Times New Roman"/>
              <w:b/>
              <w:sz w:val="24"/>
              <w:szCs w:val="24"/>
              <w:lang w:val="en-US" w:eastAsia="zh-CN"/>
            </w:rPr>
            <w:t>二、入学要求</w:t>
          </w:r>
          <w:r>
            <w:rPr>
              <w:b/>
              <w:sz w:val="24"/>
              <w:szCs w:val="24"/>
            </w:rPr>
            <w:tab/>
          </w:r>
          <w:r>
            <w:rPr>
              <w:b/>
              <w:sz w:val="24"/>
              <w:szCs w:val="24"/>
            </w:rPr>
            <w:fldChar w:fldCharType="begin"/>
          </w:r>
          <w:r>
            <w:rPr>
              <w:b/>
              <w:sz w:val="24"/>
              <w:szCs w:val="24"/>
            </w:rPr>
            <w:instrText xml:space="preserve"> PAGEREF _Toc32278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_Toc5669 </w:instrText>
          </w:r>
          <w:r>
            <w:rPr>
              <w:rFonts w:hint="eastAsia"/>
              <w:b/>
              <w:sz w:val="24"/>
              <w:szCs w:val="24"/>
            </w:rPr>
            <w:fldChar w:fldCharType="separate"/>
          </w:r>
          <w:r>
            <w:rPr>
              <w:rFonts w:hint="eastAsia" w:ascii="Times New Roman" w:hAnsi="Times New Roman" w:cs="Times New Roman"/>
              <w:b/>
              <w:sz w:val="24"/>
              <w:szCs w:val="24"/>
              <w:lang w:val="en-US" w:eastAsia="zh-CN"/>
            </w:rPr>
            <w:t>三、修业年限</w:t>
          </w:r>
          <w:r>
            <w:rPr>
              <w:b/>
              <w:sz w:val="24"/>
              <w:szCs w:val="24"/>
            </w:rPr>
            <w:tab/>
          </w:r>
          <w:r>
            <w:rPr>
              <w:b/>
              <w:sz w:val="24"/>
              <w:szCs w:val="24"/>
            </w:rPr>
            <w:fldChar w:fldCharType="begin"/>
          </w:r>
          <w:r>
            <w:rPr>
              <w:b/>
              <w:sz w:val="24"/>
              <w:szCs w:val="24"/>
            </w:rPr>
            <w:instrText xml:space="preserve"> PAGEREF _Toc5669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_Toc17157 </w:instrText>
          </w:r>
          <w:r>
            <w:rPr>
              <w:rFonts w:hint="eastAsia"/>
              <w:b/>
              <w:sz w:val="24"/>
              <w:szCs w:val="24"/>
            </w:rPr>
            <w:fldChar w:fldCharType="separate"/>
          </w:r>
          <w:r>
            <w:rPr>
              <w:rFonts w:hint="eastAsia" w:ascii="Times New Roman" w:hAnsi="Times New Roman" w:cs="Times New Roman"/>
              <w:b/>
              <w:sz w:val="24"/>
              <w:szCs w:val="24"/>
              <w:lang w:val="en-US" w:eastAsia="zh-CN"/>
            </w:rPr>
            <w:t>四、职业面向</w:t>
          </w:r>
          <w:r>
            <w:rPr>
              <w:b/>
              <w:sz w:val="24"/>
              <w:szCs w:val="24"/>
            </w:rPr>
            <w:tab/>
          </w:r>
          <w:r>
            <w:rPr>
              <w:b/>
              <w:sz w:val="24"/>
              <w:szCs w:val="24"/>
            </w:rPr>
            <w:fldChar w:fldCharType="begin"/>
          </w:r>
          <w:r>
            <w:rPr>
              <w:b/>
              <w:sz w:val="24"/>
              <w:szCs w:val="24"/>
            </w:rPr>
            <w:instrText xml:space="preserve"> PAGEREF _Toc17157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_Toc13585 </w:instrText>
          </w:r>
          <w:r>
            <w:rPr>
              <w:rFonts w:hint="eastAsia"/>
              <w:b/>
              <w:sz w:val="24"/>
              <w:szCs w:val="24"/>
            </w:rPr>
            <w:fldChar w:fldCharType="separate"/>
          </w:r>
          <w:r>
            <w:rPr>
              <w:rFonts w:hint="eastAsia" w:ascii="Times New Roman" w:hAnsi="Times New Roman" w:cs="Times New Roman"/>
              <w:b/>
              <w:sz w:val="24"/>
              <w:szCs w:val="24"/>
              <w:lang w:val="en-US" w:eastAsia="zh-CN"/>
            </w:rPr>
            <w:t>五、培养目标与培养规格</w:t>
          </w:r>
          <w:r>
            <w:rPr>
              <w:b/>
              <w:sz w:val="24"/>
              <w:szCs w:val="24"/>
            </w:rPr>
            <w:tab/>
          </w:r>
          <w:r>
            <w:rPr>
              <w:b/>
              <w:sz w:val="24"/>
              <w:szCs w:val="24"/>
            </w:rPr>
            <w:fldChar w:fldCharType="begin"/>
          </w:r>
          <w:r>
            <w:rPr>
              <w:b/>
              <w:sz w:val="24"/>
              <w:szCs w:val="24"/>
            </w:rPr>
            <w:instrText xml:space="preserve"> PAGEREF _Toc13585 \h </w:instrText>
          </w:r>
          <w:r>
            <w:rPr>
              <w:b/>
              <w:sz w:val="24"/>
              <w:szCs w:val="24"/>
            </w:rPr>
            <w:fldChar w:fldCharType="separate"/>
          </w:r>
          <w:r>
            <w:rPr>
              <w:b/>
              <w:sz w:val="24"/>
              <w:szCs w:val="24"/>
            </w:rPr>
            <w:t>1</w:t>
          </w:r>
          <w:r>
            <w:rPr>
              <w:b/>
              <w:sz w:val="24"/>
              <w:szCs w:val="24"/>
            </w:rPr>
            <w:fldChar w:fldCharType="end"/>
          </w:r>
          <w:r>
            <w:rPr>
              <w:rFonts w:hint="eastAsia"/>
              <w:b/>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_Toc321 </w:instrText>
          </w:r>
          <w:r>
            <w:rPr>
              <w:rFonts w:hint="eastAsia"/>
              <w:sz w:val="24"/>
              <w:szCs w:val="24"/>
            </w:rPr>
            <w:fldChar w:fldCharType="separate"/>
          </w:r>
          <w:r>
            <w:rPr>
              <w:rFonts w:hint="eastAsia"/>
              <w:sz w:val="24"/>
              <w:szCs w:val="24"/>
            </w:rPr>
            <w:t>（一）培养目标</w:t>
          </w:r>
          <w:r>
            <w:rPr>
              <w:sz w:val="24"/>
              <w:szCs w:val="24"/>
            </w:rPr>
            <w:tab/>
          </w:r>
          <w:r>
            <w:rPr>
              <w:sz w:val="24"/>
              <w:szCs w:val="24"/>
            </w:rPr>
            <w:fldChar w:fldCharType="begin"/>
          </w:r>
          <w:r>
            <w:rPr>
              <w:sz w:val="24"/>
              <w:szCs w:val="24"/>
            </w:rPr>
            <w:instrText xml:space="preserve"> PAGEREF _Toc321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_Toc29191 </w:instrText>
          </w:r>
          <w:r>
            <w:rPr>
              <w:rFonts w:hint="eastAsia"/>
              <w:sz w:val="24"/>
              <w:szCs w:val="24"/>
            </w:rPr>
            <w:fldChar w:fldCharType="separate"/>
          </w:r>
          <w:r>
            <w:rPr>
              <w:rFonts w:hint="eastAsia" w:ascii="Arial" w:hAnsi="Arial" w:eastAsia="宋体" w:cs="Times New Roman"/>
              <w:sz w:val="24"/>
              <w:szCs w:val="24"/>
            </w:rPr>
            <w:t>（二）培养规格</w:t>
          </w:r>
          <w:r>
            <w:rPr>
              <w:sz w:val="24"/>
              <w:szCs w:val="24"/>
            </w:rPr>
            <w:tab/>
          </w:r>
          <w:r>
            <w:rPr>
              <w:sz w:val="24"/>
              <w:szCs w:val="24"/>
            </w:rPr>
            <w:fldChar w:fldCharType="begin"/>
          </w:r>
          <w:r>
            <w:rPr>
              <w:sz w:val="24"/>
              <w:szCs w:val="24"/>
            </w:rPr>
            <w:instrText xml:space="preserve"> PAGEREF _Toc29191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_Toc10593 </w:instrText>
          </w:r>
          <w:r>
            <w:rPr>
              <w:rFonts w:hint="eastAsia"/>
              <w:b/>
              <w:sz w:val="24"/>
              <w:szCs w:val="24"/>
            </w:rPr>
            <w:fldChar w:fldCharType="separate"/>
          </w:r>
          <w:r>
            <w:rPr>
              <w:rFonts w:hint="eastAsia" w:ascii="Times New Roman" w:hAnsi="Times New Roman" w:cs="Times New Roman"/>
              <w:b/>
              <w:sz w:val="24"/>
              <w:szCs w:val="24"/>
              <w:lang w:val="en-US" w:eastAsia="zh-CN"/>
            </w:rPr>
            <w:t>六、课程设置与要求</w:t>
          </w:r>
          <w:r>
            <w:rPr>
              <w:b/>
              <w:sz w:val="24"/>
              <w:szCs w:val="24"/>
            </w:rPr>
            <w:tab/>
          </w:r>
          <w:r>
            <w:rPr>
              <w:b/>
              <w:sz w:val="24"/>
              <w:szCs w:val="24"/>
            </w:rPr>
            <w:fldChar w:fldCharType="begin"/>
          </w:r>
          <w:r>
            <w:rPr>
              <w:b/>
              <w:sz w:val="24"/>
              <w:szCs w:val="24"/>
            </w:rPr>
            <w:instrText xml:space="preserve"> PAGEREF _Toc10593 \h </w:instrText>
          </w:r>
          <w:r>
            <w:rPr>
              <w:b/>
              <w:sz w:val="24"/>
              <w:szCs w:val="24"/>
            </w:rPr>
            <w:fldChar w:fldCharType="separate"/>
          </w:r>
          <w:r>
            <w:rPr>
              <w:b/>
              <w:sz w:val="24"/>
              <w:szCs w:val="24"/>
            </w:rPr>
            <w:t>2</w:t>
          </w:r>
          <w:r>
            <w:rPr>
              <w:b/>
              <w:sz w:val="24"/>
              <w:szCs w:val="24"/>
            </w:rPr>
            <w:fldChar w:fldCharType="end"/>
          </w:r>
          <w:r>
            <w:rPr>
              <w:rFonts w:hint="eastAsia"/>
              <w:b/>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sz w:val="24"/>
              <w:szCs w:val="24"/>
            </w:rPr>
            <w:fldChar w:fldCharType="begin"/>
          </w:r>
          <w:r>
            <w:rPr>
              <w:rFonts w:hint="eastAsia"/>
              <w:sz w:val="24"/>
              <w:szCs w:val="24"/>
            </w:rPr>
            <w:instrText xml:space="preserve"> HYPERLINK \l _Toc2368 </w:instrText>
          </w:r>
          <w:r>
            <w:rPr>
              <w:rFonts w:hint="eastAsia"/>
              <w:sz w:val="24"/>
              <w:szCs w:val="24"/>
            </w:rPr>
            <w:fldChar w:fldCharType="separate"/>
          </w:r>
          <w:r>
            <w:rPr>
              <w:rFonts w:hint="eastAsia" w:ascii="Arial" w:hAnsi="Arial" w:eastAsia="宋体" w:cs="Times New Roman"/>
              <w:sz w:val="24"/>
              <w:szCs w:val="24"/>
              <w:lang w:val="en-US" w:eastAsia="zh-CN"/>
            </w:rPr>
            <w:t>（一）公共基础课程</w:t>
          </w:r>
          <w:r>
            <w:rPr>
              <w:sz w:val="24"/>
              <w:szCs w:val="24"/>
            </w:rPr>
            <w:tab/>
          </w:r>
          <w:r>
            <w:rPr>
              <w:sz w:val="24"/>
              <w:szCs w:val="24"/>
            </w:rPr>
            <w:fldChar w:fldCharType="begin"/>
          </w:r>
          <w:r>
            <w:rPr>
              <w:sz w:val="24"/>
              <w:szCs w:val="24"/>
            </w:rPr>
            <w:instrText xml:space="preserve"> PAGEREF _Toc2368 \h </w:instrText>
          </w:r>
          <w:r>
            <w:rPr>
              <w:sz w:val="24"/>
              <w:szCs w:val="24"/>
            </w:rPr>
            <w:fldChar w:fldCharType="separate"/>
          </w:r>
          <w:r>
            <w:rPr>
              <w:sz w:val="24"/>
              <w:szCs w:val="24"/>
            </w:rPr>
            <w:t>2</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sz w:val="24"/>
              <w:szCs w:val="24"/>
            </w:rPr>
            <w:fldChar w:fldCharType="begin"/>
          </w:r>
          <w:r>
            <w:rPr>
              <w:rFonts w:hint="eastAsia"/>
              <w:sz w:val="24"/>
              <w:szCs w:val="24"/>
            </w:rPr>
            <w:instrText xml:space="preserve"> HYPERLINK \l _Toc18647 </w:instrText>
          </w:r>
          <w:r>
            <w:rPr>
              <w:rFonts w:hint="eastAsia"/>
              <w:sz w:val="24"/>
              <w:szCs w:val="24"/>
            </w:rPr>
            <w:fldChar w:fldCharType="separate"/>
          </w:r>
          <w:r>
            <w:rPr>
              <w:rFonts w:hint="eastAsia" w:ascii="Arial" w:hAnsi="Arial" w:eastAsia="宋体" w:cs="Times New Roman"/>
              <w:sz w:val="24"/>
              <w:szCs w:val="24"/>
              <w:lang w:val="en-US" w:eastAsia="zh-CN"/>
            </w:rPr>
            <w:t>（二）专业(技能)课</w:t>
          </w:r>
          <w:r>
            <w:rPr>
              <w:sz w:val="24"/>
              <w:szCs w:val="24"/>
            </w:rPr>
            <w:tab/>
          </w:r>
          <w:r>
            <w:rPr>
              <w:sz w:val="24"/>
              <w:szCs w:val="24"/>
            </w:rPr>
            <w:fldChar w:fldCharType="begin"/>
          </w:r>
          <w:r>
            <w:rPr>
              <w:sz w:val="24"/>
              <w:szCs w:val="24"/>
            </w:rPr>
            <w:instrText xml:space="preserve"> PAGEREF _Toc18647 \h </w:instrText>
          </w:r>
          <w:r>
            <w:rPr>
              <w:sz w:val="24"/>
              <w:szCs w:val="24"/>
            </w:rPr>
            <w:fldChar w:fldCharType="separate"/>
          </w:r>
          <w:r>
            <w:rPr>
              <w:sz w:val="24"/>
              <w:szCs w:val="24"/>
            </w:rPr>
            <w:t>7</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_Toc16199 </w:instrText>
          </w:r>
          <w:r>
            <w:rPr>
              <w:rFonts w:hint="eastAsia"/>
              <w:sz w:val="24"/>
              <w:szCs w:val="24"/>
            </w:rPr>
            <w:fldChar w:fldCharType="separate"/>
          </w:r>
          <w:r>
            <w:rPr>
              <w:rFonts w:hint="eastAsia" w:ascii="Arial" w:hAnsi="Arial" w:eastAsia="宋体" w:cs="Times New Roman"/>
              <w:sz w:val="24"/>
              <w:szCs w:val="24"/>
              <w:lang w:val="en-US" w:eastAsia="zh-CN"/>
            </w:rPr>
            <w:t>（三）实践性教学环节</w:t>
          </w:r>
          <w:r>
            <w:rPr>
              <w:sz w:val="24"/>
              <w:szCs w:val="24"/>
            </w:rPr>
            <w:tab/>
          </w:r>
          <w:r>
            <w:rPr>
              <w:sz w:val="24"/>
              <w:szCs w:val="24"/>
            </w:rPr>
            <w:fldChar w:fldCharType="begin"/>
          </w:r>
          <w:r>
            <w:rPr>
              <w:sz w:val="24"/>
              <w:szCs w:val="24"/>
            </w:rPr>
            <w:instrText xml:space="preserve"> PAGEREF _Toc16199 \h </w:instrText>
          </w:r>
          <w:r>
            <w:rPr>
              <w:sz w:val="24"/>
              <w:szCs w:val="24"/>
            </w:rPr>
            <w:fldChar w:fldCharType="separate"/>
          </w:r>
          <w:r>
            <w:rPr>
              <w:sz w:val="24"/>
              <w:szCs w:val="24"/>
            </w:rPr>
            <w:t>10</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_Toc16475 </w:instrText>
          </w:r>
          <w:r>
            <w:rPr>
              <w:rFonts w:hint="eastAsia"/>
              <w:sz w:val="24"/>
              <w:szCs w:val="24"/>
            </w:rPr>
            <w:fldChar w:fldCharType="separate"/>
          </w:r>
          <w:r>
            <w:rPr>
              <w:rFonts w:hint="eastAsia" w:ascii="Arial" w:hAnsi="Arial" w:eastAsia="宋体" w:cs="Times New Roman"/>
              <w:sz w:val="24"/>
              <w:szCs w:val="24"/>
              <w:lang w:val="en-US" w:eastAsia="zh-CN"/>
            </w:rPr>
            <w:t>（四）课程思政要求</w:t>
          </w:r>
          <w:r>
            <w:rPr>
              <w:sz w:val="24"/>
              <w:szCs w:val="24"/>
            </w:rPr>
            <w:tab/>
          </w:r>
          <w:r>
            <w:rPr>
              <w:sz w:val="24"/>
              <w:szCs w:val="24"/>
            </w:rPr>
            <w:fldChar w:fldCharType="begin"/>
          </w:r>
          <w:r>
            <w:rPr>
              <w:sz w:val="24"/>
              <w:szCs w:val="24"/>
            </w:rPr>
            <w:instrText xml:space="preserve"> PAGEREF _Toc16475 \h </w:instrText>
          </w:r>
          <w:r>
            <w:rPr>
              <w:sz w:val="24"/>
              <w:szCs w:val="24"/>
            </w:rPr>
            <w:fldChar w:fldCharType="separate"/>
          </w:r>
          <w:r>
            <w:rPr>
              <w:sz w:val="24"/>
              <w:szCs w:val="24"/>
            </w:rPr>
            <w:t>10</w:t>
          </w:r>
          <w:r>
            <w:rPr>
              <w:sz w:val="24"/>
              <w:szCs w:val="24"/>
            </w:rPr>
            <w:fldChar w:fldCharType="end"/>
          </w:r>
          <w:r>
            <w:rPr>
              <w:rFonts w:hint="eastAsia"/>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_Toc14970 </w:instrText>
          </w:r>
          <w:r>
            <w:rPr>
              <w:rFonts w:hint="eastAsia"/>
              <w:b/>
              <w:sz w:val="24"/>
              <w:szCs w:val="24"/>
            </w:rPr>
            <w:fldChar w:fldCharType="separate"/>
          </w:r>
          <w:r>
            <w:rPr>
              <w:rFonts w:hint="eastAsia" w:ascii="Times New Roman" w:hAnsi="Times New Roman" w:cs="Times New Roman"/>
              <w:b/>
              <w:sz w:val="24"/>
              <w:szCs w:val="24"/>
              <w:lang w:val="en-US" w:eastAsia="zh-CN"/>
            </w:rPr>
            <w:t>七、教学进程总体安排</w:t>
          </w:r>
          <w:r>
            <w:rPr>
              <w:b/>
              <w:sz w:val="24"/>
              <w:szCs w:val="24"/>
            </w:rPr>
            <w:tab/>
          </w:r>
          <w:r>
            <w:rPr>
              <w:b/>
              <w:sz w:val="24"/>
              <w:szCs w:val="24"/>
            </w:rPr>
            <w:fldChar w:fldCharType="begin"/>
          </w:r>
          <w:r>
            <w:rPr>
              <w:b/>
              <w:sz w:val="24"/>
              <w:szCs w:val="24"/>
            </w:rPr>
            <w:instrText xml:space="preserve"> PAGEREF _Toc14970 \h </w:instrText>
          </w:r>
          <w:r>
            <w:rPr>
              <w:b/>
              <w:sz w:val="24"/>
              <w:szCs w:val="24"/>
            </w:rPr>
            <w:fldChar w:fldCharType="separate"/>
          </w:r>
          <w:r>
            <w:rPr>
              <w:b/>
              <w:sz w:val="24"/>
              <w:szCs w:val="24"/>
            </w:rPr>
            <w:t>11</w:t>
          </w:r>
          <w:r>
            <w:rPr>
              <w:b/>
              <w:sz w:val="24"/>
              <w:szCs w:val="24"/>
            </w:rPr>
            <w:fldChar w:fldCharType="end"/>
          </w:r>
          <w:r>
            <w:rPr>
              <w:rFonts w:hint="eastAsia"/>
              <w:b/>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_Toc8699 </w:instrText>
          </w:r>
          <w:r>
            <w:rPr>
              <w:rFonts w:hint="eastAsia"/>
              <w:sz w:val="24"/>
              <w:szCs w:val="24"/>
            </w:rPr>
            <w:fldChar w:fldCharType="separate"/>
          </w:r>
          <w:r>
            <w:rPr>
              <w:rFonts w:hint="eastAsia" w:ascii="Arial" w:hAnsi="Arial" w:eastAsia="宋体" w:cs="Times New Roman"/>
              <w:sz w:val="24"/>
              <w:szCs w:val="24"/>
              <w:lang w:val="en-US" w:eastAsia="zh-CN"/>
            </w:rPr>
            <w:t>（一）教学时间分配表</w:t>
          </w:r>
          <w:r>
            <w:rPr>
              <w:sz w:val="24"/>
              <w:szCs w:val="24"/>
            </w:rPr>
            <w:tab/>
          </w:r>
          <w:r>
            <w:rPr>
              <w:sz w:val="24"/>
              <w:szCs w:val="24"/>
            </w:rPr>
            <w:fldChar w:fldCharType="begin"/>
          </w:r>
          <w:r>
            <w:rPr>
              <w:sz w:val="24"/>
              <w:szCs w:val="24"/>
            </w:rPr>
            <w:instrText xml:space="preserve"> PAGEREF _Toc8699 \h </w:instrText>
          </w:r>
          <w:r>
            <w:rPr>
              <w:sz w:val="24"/>
              <w:szCs w:val="24"/>
            </w:rPr>
            <w:fldChar w:fldCharType="separate"/>
          </w:r>
          <w:r>
            <w:rPr>
              <w:sz w:val="24"/>
              <w:szCs w:val="24"/>
            </w:rPr>
            <w:t>11</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sz w:val="24"/>
              <w:szCs w:val="24"/>
            </w:rPr>
            <w:fldChar w:fldCharType="begin"/>
          </w:r>
          <w:r>
            <w:rPr>
              <w:rFonts w:hint="eastAsia"/>
              <w:sz w:val="24"/>
              <w:szCs w:val="24"/>
            </w:rPr>
            <w:instrText xml:space="preserve"> HYPERLINK \l _Toc16392 </w:instrText>
          </w:r>
          <w:r>
            <w:rPr>
              <w:rFonts w:hint="eastAsia"/>
              <w:sz w:val="24"/>
              <w:szCs w:val="24"/>
            </w:rPr>
            <w:fldChar w:fldCharType="separate"/>
          </w:r>
          <w:r>
            <w:rPr>
              <w:rFonts w:hint="eastAsia" w:ascii="Arial" w:hAnsi="Arial" w:eastAsia="宋体" w:cs="Times New Roman"/>
              <w:sz w:val="24"/>
              <w:szCs w:val="24"/>
              <w:lang w:val="en-US" w:eastAsia="zh-CN"/>
            </w:rPr>
            <w:t>（二）课程设置与教学进程表</w:t>
          </w:r>
          <w:bookmarkStart w:id="846" w:name="_GoBack"/>
          <w:bookmarkEnd w:id="846"/>
          <w:r>
            <w:rPr>
              <w:sz w:val="24"/>
              <w:szCs w:val="24"/>
            </w:rPr>
            <w:tab/>
          </w:r>
          <w:r>
            <w:rPr>
              <w:sz w:val="24"/>
              <w:szCs w:val="24"/>
            </w:rPr>
            <w:fldChar w:fldCharType="begin"/>
          </w:r>
          <w:r>
            <w:rPr>
              <w:sz w:val="24"/>
              <w:szCs w:val="24"/>
            </w:rPr>
            <w:instrText xml:space="preserve"> PAGEREF _Toc16392 \h </w:instrText>
          </w:r>
          <w:r>
            <w:rPr>
              <w:sz w:val="24"/>
              <w:szCs w:val="24"/>
            </w:rPr>
            <w:fldChar w:fldCharType="separate"/>
          </w:r>
          <w:r>
            <w:rPr>
              <w:sz w:val="24"/>
              <w:szCs w:val="24"/>
            </w:rPr>
            <w:t>12</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_Toc14585 </w:instrText>
          </w:r>
          <w:r>
            <w:rPr>
              <w:rFonts w:hint="eastAsia"/>
              <w:sz w:val="24"/>
              <w:szCs w:val="24"/>
            </w:rPr>
            <w:fldChar w:fldCharType="separate"/>
          </w:r>
          <w:r>
            <w:rPr>
              <w:rFonts w:hint="eastAsia" w:ascii="Arial" w:hAnsi="Arial" w:eastAsia="宋体" w:cs="Times New Roman"/>
              <w:sz w:val="24"/>
              <w:szCs w:val="24"/>
              <w:lang w:val="en-US" w:eastAsia="zh-CN"/>
            </w:rPr>
            <w:t>（三）教学学时、学分分配比例表</w:t>
          </w:r>
          <w:r>
            <w:rPr>
              <w:sz w:val="24"/>
              <w:szCs w:val="24"/>
            </w:rPr>
            <w:tab/>
          </w:r>
          <w:r>
            <w:rPr>
              <w:sz w:val="24"/>
              <w:szCs w:val="24"/>
            </w:rPr>
            <w:fldChar w:fldCharType="begin"/>
          </w:r>
          <w:r>
            <w:rPr>
              <w:sz w:val="24"/>
              <w:szCs w:val="24"/>
            </w:rPr>
            <w:instrText xml:space="preserve"> PAGEREF _Toc14585 \h </w:instrText>
          </w:r>
          <w:r>
            <w:rPr>
              <w:sz w:val="24"/>
              <w:szCs w:val="24"/>
            </w:rPr>
            <w:fldChar w:fldCharType="separate"/>
          </w:r>
          <w:r>
            <w:rPr>
              <w:sz w:val="24"/>
              <w:szCs w:val="24"/>
            </w:rPr>
            <w:t>15</w:t>
          </w:r>
          <w:r>
            <w:rPr>
              <w:sz w:val="24"/>
              <w:szCs w:val="24"/>
            </w:rPr>
            <w:fldChar w:fldCharType="end"/>
          </w:r>
          <w:r>
            <w:rPr>
              <w:rFonts w:hint="eastAsia"/>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_Toc15915 </w:instrText>
          </w:r>
          <w:r>
            <w:rPr>
              <w:rFonts w:hint="eastAsia"/>
              <w:b/>
              <w:sz w:val="24"/>
              <w:szCs w:val="24"/>
            </w:rPr>
            <w:fldChar w:fldCharType="separate"/>
          </w:r>
          <w:r>
            <w:rPr>
              <w:rFonts w:hint="eastAsia" w:ascii="Times New Roman" w:hAnsi="Times New Roman" w:cs="Times New Roman"/>
              <w:b/>
              <w:sz w:val="24"/>
              <w:szCs w:val="24"/>
              <w:lang w:val="en-US" w:eastAsia="zh-CN"/>
            </w:rPr>
            <w:t>八、实施保障</w:t>
          </w:r>
          <w:r>
            <w:rPr>
              <w:b/>
              <w:sz w:val="24"/>
              <w:szCs w:val="24"/>
            </w:rPr>
            <w:tab/>
          </w:r>
          <w:r>
            <w:rPr>
              <w:b/>
              <w:sz w:val="24"/>
              <w:szCs w:val="24"/>
            </w:rPr>
            <w:fldChar w:fldCharType="begin"/>
          </w:r>
          <w:r>
            <w:rPr>
              <w:b/>
              <w:sz w:val="24"/>
              <w:szCs w:val="24"/>
            </w:rPr>
            <w:instrText xml:space="preserve"> PAGEREF _Toc15915 \h </w:instrText>
          </w:r>
          <w:r>
            <w:rPr>
              <w:b/>
              <w:sz w:val="24"/>
              <w:szCs w:val="24"/>
            </w:rPr>
            <w:fldChar w:fldCharType="separate"/>
          </w:r>
          <w:r>
            <w:rPr>
              <w:b/>
              <w:sz w:val="24"/>
              <w:szCs w:val="24"/>
            </w:rPr>
            <w:t>15</w:t>
          </w:r>
          <w:r>
            <w:rPr>
              <w:b/>
              <w:sz w:val="24"/>
              <w:szCs w:val="24"/>
            </w:rPr>
            <w:fldChar w:fldCharType="end"/>
          </w:r>
          <w:r>
            <w:rPr>
              <w:rFonts w:hint="eastAsia"/>
              <w:b/>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_Toc10945 </w:instrText>
          </w:r>
          <w:r>
            <w:rPr>
              <w:rFonts w:hint="eastAsia"/>
              <w:sz w:val="24"/>
              <w:szCs w:val="24"/>
            </w:rPr>
            <w:fldChar w:fldCharType="separate"/>
          </w:r>
          <w:r>
            <w:rPr>
              <w:rFonts w:hint="eastAsia" w:ascii="Arial" w:hAnsi="Arial" w:eastAsia="宋体" w:cs="Times New Roman"/>
              <w:sz w:val="24"/>
              <w:szCs w:val="24"/>
              <w:lang w:val="en-US" w:eastAsia="zh-CN"/>
            </w:rPr>
            <w:t>（一）师资队伍</w:t>
          </w:r>
          <w:r>
            <w:rPr>
              <w:sz w:val="24"/>
              <w:szCs w:val="24"/>
            </w:rPr>
            <w:tab/>
          </w:r>
          <w:r>
            <w:rPr>
              <w:sz w:val="24"/>
              <w:szCs w:val="24"/>
            </w:rPr>
            <w:fldChar w:fldCharType="begin"/>
          </w:r>
          <w:r>
            <w:rPr>
              <w:sz w:val="24"/>
              <w:szCs w:val="24"/>
            </w:rPr>
            <w:instrText xml:space="preserve"> PAGEREF _Toc10945 \h </w:instrText>
          </w:r>
          <w:r>
            <w:rPr>
              <w:sz w:val="24"/>
              <w:szCs w:val="24"/>
            </w:rPr>
            <w:fldChar w:fldCharType="separate"/>
          </w:r>
          <w:r>
            <w:rPr>
              <w:sz w:val="24"/>
              <w:szCs w:val="24"/>
            </w:rPr>
            <w:t>15</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_Toc21676 </w:instrText>
          </w:r>
          <w:r>
            <w:rPr>
              <w:rFonts w:hint="eastAsia"/>
              <w:sz w:val="24"/>
              <w:szCs w:val="24"/>
            </w:rPr>
            <w:fldChar w:fldCharType="separate"/>
          </w:r>
          <w:r>
            <w:rPr>
              <w:rFonts w:hint="eastAsia" w:ascii="Arial" w:hAnsi="Arial" w:eastAsia="宋体" w:cs="Times New Roman"/>
              <w:sz w:val="24"/>
              <w:szCs w:val="24"/>
              <w:lang w:val="en-US" w:eastAsia="zh-CN"/>
            </w:rPr>
            <w:t>（二）教学设施</w:t>
          </w:r>
          <w:r>
            <w:rPr>
              <w:sz w:val="24"/>
              <w:szCs w:val="24"/>
            </w:rPr>
            <w:tab/>
          </w:r>
          <w:r>
            <w:rPr>
              <w:sz w:val="24"/>
              <w:szCs w:val="24"/>
            </w:rPr>
            <w:fldChar w:fldCharType="begin"/>
          </w:r>
          <w:r>
            <w:rPr>
              <w:sz w:val="24"/>
              <w:szCs w:val="24"/>
            </w:rPr>
            <w:instrText xml:space="preserve"> PAGEREF _Toc21676 \h </w:instrText>
          </w:r>
          <w:r>
            <w:rPr>
              <w:sz w:val="24"/>
              <w:szCs w:val="24"/>
            </w:rPr>
            <w:fldChar w:fldCharType="separate"/>
          </w:r>
          <w:r>
            <w:rPr>
              <w:sz w:val="24"/>
              <w:szCs w:val="24"/>
            </w:rPr>
            <w:t>15</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_Toc6994 </w:instrText>
          </w:r>
          <w:r>
            <w:rPr>
              <w:rFonts w:hint="eastAsia"/>
              <w:sz w:val="24"/>
              <w:szCs w:val="24"/>
            </w:rPr>
            <w:fldChar w:fldCharType="separate"/>
          </w:r>
          <w:r>
            <w:rPr>
              <w:rFonts w:hint="eastAsia" w:ascii="Arial" w:hAnsi="Arial" w:eastAsia="宋体" w:cs="Times New Roman"/>
              <w:sz w:val="24"/>
              <w:szCs w:val="24"/>
              <w:lang w:val="en-US" w:eastAsia="zh-CN"/>
            </w:rPr>
            <w:t>（三）教学资源</w:t>
          </w:r>
          <w:r>
            <w:rPr>
              <w:sz w:val="24"/>
              <w:szCs w:val="24"/>
            </w:rPr>
            <w:tab/>
          </w:r>
          <w:r>
            <w:rPr>
              <w:sz w:val="24"/>
              <w:szCs w:val="24"/>
            </w:rPr>
            <w:fldChar w:fldCharType="begin"/>
          </w:r>
          <w:r>
            <w:rPr>
              <w:sz w:val="24"/>
              <w:szCs w:val="24"/>
            </w:rPr>
            <w:instrText xml:space="preserve"> PAGEREF _Toc6994 \h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_Toc22441 </w:instrText>
          </w:r>
          <w:r>
            <w:rPr>
              <w:rFonts w:hint="eastAsia"/>
              <w:sz w:val="24"/>
              <w:szCs w:val="24"/>
            </w:rPr>
            <w:fldChar w:fldCharType="separate"/>
          </w:r>
          <w:r>
            <w:rPr>
              <w:rFonts w:hint="eastAsia" w:ascii="Arial" w:hAnsi="Arial" w:eastAsia="宋体" w:cs="Times New Roman"/>
              <w:sz w:val="24"/>
              <w:szCs w:val="24"/>
              <w:lang w:val="en-US" w:eastAsia="zh-CN"/>
            </w:rPr>
            <w:t>（四）教学方法</w:t>
          </w:r>
          <w:r>
            <w:rPr>
              <w:sz w:val="24"/>
              <w:szCs w:val="24"/>
            </w:rPr>
            <w:tab/>
          </w:r>
          <w:r>
            <w:rPr>
              <w:sz w:val="24"/>
              <w:szCs w:val="24"/>
            </w:rPr>
            <w:fldChar w:fldCharType="begin"/>
          </w:r>
          <w:r>
            <w:rPr>
              <w:sz w:val="24"/>
              <w:szCs w:val="24"/>
            </w:rPr>
            <w:instrText xml:space="preserve"> PAGEREF _Toc22441 \h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_Toc29475 </w:instrText>
          </w:r>
          <w:r>
            <w:rPr>
              <w:rFonts w:hint="eastAsia"/>
              <w:sz w:val="24"/>
              <w:szCs w:val="24"/>
            </w:rPr>
            <w:fldChar w:fldCharType="separate"/>
          </w:r>
          <w:r>
            <w:rPr>
              <w:rFonts w:hint="eastAsia" w:ascii="Arial" w:hAnsi="Arial" w:eastAsia="宋体" w:cs="Times New Roman"/>
              <w:sz w:val="24"/>
              <w:szCs w:val="24"/>
              <w:lang w:val="en-US" w:eastAsia="zh-CN"/>
            </w:rPr>
            <w:t>（五）学习评价</w:t>
          </w:r>
          <w:r>
            <w:rPr>
              <w:sz w:val="24"/>
              <w:szCs w:val="24"/>
            </w:rPr>
            <w:tab/>
          </w:r>
          <w:r>
            <w:rPr>
              <w:sz w:val="24"/>
              <w:szCs w:val="24"/>
            </w:rPr>
            <w:fldChar w:fldCharType="begin"/>
          </w:r>
          <w:r>
            <w:rPr>
              <w:sz w:val="24"/>
              <w:szCs w:val="24"/>
            </w:rPr>
            <w:instrText xml:space="preserve"> PAGEREF _Toc29475 \h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pPr>
            <w:pStyle w:val="16"/>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_Toc24225 </w:instrText>
          </w:r>
          <w:r>
            <w:rPr>
              <w:rFonts w:hint="eastAsia"/>
              <w:sz w:val="24"/>
              <w:szCs w:val="24"/>
            </w:rPr>
            <w:fldChar w:fldCharType="separate"/>
          </w:r>
          <w:r>
            <w:rPr>
              <w:rFonts w:hint="eastAsia" w:ascii="Arial" w:hAnsi="Arial" w:eastAsia="宋体" w:cs="Times New Roman"/>
              <w:sz w:val="24"/>
              <w:szCs w:val="24"/>
              <w:lang w:val="en-US" w:eastAsia="zh-CN"/>
            </w:rPr>
            <w:t>（六）质量管理</w:t>
          </w:r>
          <w:r>
            <w:rPr>
              <w:sz w:val="24"/>
              <w:szCs w:val="24"/>
            </w:rPr>
            <w:tab/>
          </w:r>
          <w:r>
            <w:rPr>
              <w:sz w:val="24"/>
              <w:szCs w:val="24"/>
            </w:rPr>
            <w:fldChar w:fldCharType="begin"/>
          </w:r>
          <w:r>
            <w:rPr>
              <w:sz w:val="24"/>
              <w:szCs w:val="24"/>
            </w:rPr>
            <w:instrText xml:space="preserve"> PAGEREF _Toc24225 \h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sz w:val="24"/>
              <w:szCs w:val="24"/>
            </w:rPr>
          </w:pPr>
          <w:r>
            <w:rPr>
              <w:rFonts w:hint="eastAsia"/>
              <w:b/>
              <w:sz w:val="24"/>
              <w:szCs w:val="24"/>
            </w:rPr>
            <w:fldChar w:fldCharType="begin"/>
          </w:r>
          <w:r>
            <w:rPr>
              <w:rFonts w:hint="eastAsia"/>
              <w:b/>
              <w:sz w:val="24"/>
              <w:szCs w:val="24"/>
            </w:rPr>
            <w:instrText xml:space="preserve"> HYPERLINK \l _Toc12053 </w:instrText>
          </w:r>
          <w:r>
            <w:rPr>
              <w:rFonts w:hint="eastAsia"/>
              <w:b/>
              <w:sz w:val="24"/>
              <w:szCs w:val="24"/>
            </w:rPr>
            <w:fldChar w:fldCharType="separate"/>
          </w:r>
          <w:r>
            <w:rPr>
              <w:rFonts w:hint="eastAsia" w:ascii="Times New Roman" w:hAnsi="Times New Roman" w:cs="Times New Roman"/>
              <w:b/>
              <w:sz w:val="24"/>
              <w:szCs w:val="24"/>
              <w:lang w:val="en-US" w:eastAsia="zh-CN"/>
            </w:rPr>
            <w:t>九、毕业要求</w:t>
          </w:r>
          <w:r>
            <w:rPr>
              <w:b/>
              <w:sz w:val="24"/>
              <w:szCs w:val="24"/>
            </w:rPr>
            <w:tab/>
          </w:r>
          <w:r>
            <w:rPr>
              <w:b/>
              <w:sz w:val="24"/>
              <w:szCs w:val="24"/>
            </w:rPr>
            <w:fldChar w:fldCharType="begin"/>
          </w:r>
          <w:r>
            <w:rPr>
              <w:b/>
              <w:sz w:val="24"/>
              <w:szCs w:val="24"/>
            </w:rPr>
            <w:instrText xml:space="preserve"> PAGEREF _Toc12053 \h </w:instrText>
          </w:r>
          <w:r>
            <w:rPr>
              <w:b/>
              <w:sz w:val="24"/>
              <w:szCs w:val="24"/>
            </w:rPr>
            <w:fldChar w:fldCharType="separate"/>
          </w:r>
          <w:r>
            <w:rPr>
              <w:b/>
              <w:sz w:val="24"/>
              <w:szCs w:val="24"/>
            </w:rPr>
            <w:t>17</w:t>
          </w:r>
          <w:r>
            <w:rPr>
              <w:b/>
              <w:sz w:val="24"/>
              <w:szCs w:val="24"/>
            </w:rPr>
            <w:fldChar w:fldCharType="end"/>
          </w:r>
          <w:r>
            <w:rPr>
              <w:rFonts w:hint="eastAsia"/>
              <w:b/>
              <w:sz w:val="24"/>
              <w:szCs w:val="24"/>
            </w:rPr>
            <w:fldChar w:fldCharType="end"/>
          </w:r>
        </w:p>
        <w:p>
          <w:pPr>
            <w:pStyle w:val="15"/>
            <w:keepNext w:val="0"/>
            <w:keepLines w:val="0"/>
            <w:pageBreakBefore w:val="0"/>
            <w:widowControl/>
            <w:tabs>
              <w:tab w:val="right" w:leader="dot" w:pos="8742"/>
            </w:tabs>
            <w:kinsoku/>
            <w:wordWrap/>
            <w:overflowPunct/>
            <w:topLinePunct w:val="0"/>
            <w:autoSpaceDE/>
            <w:autoSpaceDN/>
            <w:bidi w:val="0"/>
            <w:adjustRightInd/>
            <w:snapToGrid/>
            <w:spacing w:line="360" w:lineRule="auto"/>
            <w:textAlignment w:val="auto"/>
            <w:rPr>
              <w:b/>
            </w:rPr>
          </w:pPr>
          <w:r>
            <w:rPr>
              <w:rFonts w:hint="eastAsia"/>
              <w:b/>
              <w:sz w:val="24"/>
              <w:szCs w:val="24"/>
            </w:rPr>
            <w:fldChar w:fldCharType="begin"/>
          </w:r>
          <w:r>
            <w:rPr>
              <w:rFonts w:hint="eastAsia"/>
              <w:b/>
              <w:sz w:val="24"/>
              <w:szCs w:val="24"/>
            </w:rPr>
            <w:instrText xml:space="preserve"> HYPERLINK \l _Toc24289 </w:instrText>
          </w:r>
          <w:r>
            <w:rPr>
              <w:rFonts w:hint="eastAsia"/>
              <w:b/>
              <w:sz w:val="24"/>
              <w:szCs w:val="24"/>
            </w:rPr>
            <w:fldChar w:fldCharType="separate"/>
          </w:r>
          <w:r>
            <w:rPr>
              <w:rFonts w:hint="eastAsia" w:ascii="Times New Roman" w:hAnsi="Times New Roman" w:cs="Times New Roman"/>
              <w:b/>
              <w:sz w:val="24"/>
              <w:szCs w:val="24"/>
              <w:lang w:val="en-US" w:eastAsia="zh-CN"/>
            </w:rPr>
            <w:t>十、附录</w:t>
          </w:r>
          <w:r>
            <w:rPr>
              <w:b/>
              <w:sz w:val="24"/>
              <w:szCs w:val="24"/>
            </w:rPr>
            <w:tab/>
          </w:r>
          <w:r>
            <w:rPr>
              <w:b/>
              <w:sz w:val="24"/>
              <w:szCs w:val="24"/>
            </w:rPr>
            <w:fldChar w:fldCharType="begin"/>
          </w:r>
          <w:r>
            <w:rPr>
              <w:b/>
              <w:sz w:val="24"/>
              <w:szCs w:val="24"/>
            </w:rPr>
            <w:instrText xml:space="preserve"> PAGEREF _Toc24289 \h </w:instrText>
          </w:r>
          <w:r>
            <w:rPr>
              <w:b/>
              <w:sz w:val="24"/>
              <w:szCs w:val="24"/>
            </w:rPr>
            <w:fldChar w:fldCharType="separate"/>
          </w:r>
          <w:r>
            <w:rPr>
              <w:b/>
              <w:sz w:val="24"/>
              <w:szCs w:val="24"/>
            </w:rPr>
            <w:t>17</w:t>
          </w:r>
          <w:r>
            <w:rPr>
              <w:b/>
              <w:sz w:val="24"/>
              <w:szCs w:val="24"/>
            </w:rPr>
            <w:fldChar w:fldCharType="end"/>
          </w:r>
          <w:r>
            <w:rPr>
              <w:rFonts w:hint="eastAsia"/>
              <w:b/>
              <w:sz w:val="24"/>
              <w:szCs w:val="24"/>
            </w:rPr>
            <w:fldChar w:fldCharType="end"/>
          </w:r>
        </w:p>
        <w:p>
          <w:pPr>
            <w:pStyle w:val="9"/>
            <w:adjustRightInd w:val="0"/>
            <w:snapToGrid w:val="0"/>
            <w:spacing w:before="0" w:beforeAutospacing="0" w:after="0" w:afterAutospacing="0" w:line="480" w:lineRule="auto"/>
            <w:ind w:firstLine="463" w:firstLineChars="192"/>
            <w:jc w:val="center"/>
            <w:rPr>
              <w:rFonts w:hint="eastAsia"/>
              <w:b/>
              <w:szCs w:val="40"/>
            </w:rPr>
          </w:pPr>
          <w:r>
            <w:rPr>
              <w:rFonts w:hint="eastAsia"/>
              <w:b/>
              <w:szCs w:val="40"/>
            </w:rPr>
            <w:fldChar w:fldCharType="end"/>
          </w:r>
        </w:p>
      </w:sdtContent>
    </w:sdt>
    <w:p>
      <w:pPr>
        <w:pStyle w:val="9"/>
        <w:adjustRightInd w:val="0"/>
        <w:snapToGrid w:val="0"/>
        <w:spacing w:before="0" w:beforeAutospacing="0" w:after="0" w:afterAutospacing="0" w:line="480" w:lineRule="auto"/>
        <w:ind w:firstLine="463" w:firstLineChars="192"/>
        <w:jc w:val="center"/>
        <w:rPr>
          <w:rFonts w:hint="eastAsia"/>
          <w:b/>
          <w:szCs w:val="40"/>
        </w:rPr>
      </w:pPr>
    </w:p>
    <w:p>
      <w:pPr>
        <w:pStyle w:val="9"/>
        <w:adjustRightInd w:val="0"/>
        <w:snapToGrid w:val="0"/>
        <w:spacing w:before="0" w:beforeAutospacing="0" w:after="0" w:afterAutospacing="0" w:line="480" w:lineRule="auto"/>
        <w:ind w:firstLine="463" w:firstLineChars="192"/>
        <w:jc w:val="center"/>
        <w:rPr>
          <w:rFonts w:hint="eastAsia"/>
          <w:b/>
          <w:szCs w:val="40"/>
        </w:rPr>
      </w:pPr>
    </w:p>
    <w:p>
      <w:pPr>
        <w:pStyle w:val="2"/>
        <w:bidi w:val="0"/>
        <w:rPr>
          <w:rFonts w:hint="eastAsia"/>
          <w:lang w:val="en-US" w:eastAsia="zh-CN"/>
        </w:rPr>
        <w:sectPr>
          <w:headerReference r:id="rId3" w:type="default"/>
          <w:footerReference r:id="rId4" w:type="default"/>
          <w:footerReference r:id="rId5" w:type="even"/>
          <w:pgSz w:w="11906" w:h="16838"/>
          <w:pgMar w:top="1440" w:right="1440" w:bottom="1440" w:left="1440" w:header="851" w:footer="992" w:gutter="284"/>
          <w:pgNumType w:start="1"/>
          <w:cols w:space="720" w:num="1"/>
          <w:docGrid w:linePitch="312" w:charSpace="0"/>
        </w:sectPr>
      </w:pPr>
      <w:bookmarkStart w:id="0" w:name="_Toc3821"/>
      <w:bookmarkStart w:id="1" w:name="_Toc24040"/>
      <w:bookmarkStart w:id="2" w:name="_Toc11678"/>
    </w:p>
    <w:p>
      <w:pPr>
        <w:pStyle w:val="2"/>
        <w:bidi w:val="0"/>
        <w:rPr>
          <w:rFonts w:hint="eastAsia"/>
          <w:lang w:val="en-US" w:eastAsia="zh-CN"/>
        </w:rPr>
      </w:pPr>
      <w:r>
        <w:rPr>
          <w:rFonts w:hint="eastAsia"/>
          <w:lang w:val="en-US" w:eastAsia="zh-CN"/>
        </w:rPr>
        <w:t>一、专业名称及代码</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专业名称：</w:t>
      </w:r>
      <w:r>
        <w:rPr>
          <w:rFonts w:hint="eastAsia" w:ascii="宋体" w:hAnsi="宋体" w:eastAsia="宋体" w:cs="宋体"/>
          <w:sz w:val="24"/>
          <w:szCs w:val="24"/>
          <w:lang w:val="en-US" w:eastAsia="zh-CN"/>
        </w:rPr>
        <w:t>建设工程管理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专业代码：</w:t>
      </w:r>
      <w:r>
        <w:rPr>
          <w:rFonts w:hint="eastAsia" w:ascii="宋体" w:hAnsi="宋体" w:eastAsia="宋体" w:cs="宋体"/>
          <w:sz w:val="24"/>
          <w:szCs w:val="24"/>
          <w:lang w:val="en-US" w:eastAsia="zh-CN"/>
        </w:rPr>
        <w:t>44</w:t>
      </w:r>
      <w:r>
        <w:rPr>
          <w:rFonts w:hint="eastAsia" w:ascii="宋体" w:hAnsi="宋体" w:eastAsia="宋体" w:cs="宋体"/>
          <w:sz w:val="24"/>
          <w:szCs w:val="24"/>
        </w:rPr>
        <w:t>050</w:t>
      </w:r>
      <w:r>
        <w:rPr>
          <w:rFonts w:hint="eastAsia" w:ascii="宋体" w:hAnsi="宋体" w:eastAsia="宋体" w:cs="宋体"/>
          <w:sz w:val="24"/>
          <w:szCs w:val="24"/>
          <w:lang w:val="en-US" w:eastAsia="zh-CN"/>
        </w:rPr>
        <w:t>2</w:t>
      </w:r>
    </w:p>
    <w:p>
      <w:pPr>
        <w:pStyle w:val="2"/>
        <w:bidi w:val="0"/>
        <w:rPr>
          <w:rFonts w:hint="eastAsia" w:ascii="Times New Roman" w:hAnsi="Times New Roman" w:cs="Times New Roman"/>
          <w:b w:val="0"/>
          <w:lang w:val="en-US" w:eastAsia="zh-CN"/>
        </w:rPr>
      </w:pPr>
      <w:bookmarkStart w:id="3" w:name="_Toc945"/>
      <w:bookmarkStart w:id="4" w:name="_Toc19847"/>
      <w:bookmarkStart w:id="5" w:name="_Toc32278"/>
      <w:r>
        <w:rPr>
          <w:rFonts w:hint="eastAsia" w:ascii="Times New Roman" w:hAnsi="Times New Roman" w:cs="Times New Roman"/>
          <w:b w:val="0"/>
          <w:lang w:val="en-US" w:eastAsia="zh-CN"/>
        </w:rPr>
        <w:t>二、入学要求</w:t>
      </w:r>
      <w:bookmarkEnd w:id="3"/>
      <w:bookmarkEnd w:id="4"/>
      <w:bookmarkEnd w:id="5"/>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普通高级中学毕业、中等职业学校毕业或具备同等学力</w:t>
      </w:r>
    </w:p>
    <w:p>
      <w:pPr>
        <w:pStyle w:val="2"/>
        <w:bidi w:val="0"/>
        <w:rPr>
          <w:rFonts w:hint="eastAsia" w:ascii="Times New Roman" w:hAnsi="Times New Roman" w:cs="Times New Roman"/>
          <w:b w:val="0"/>
          <w:lang w:val="en-US" w:eastAsia="zh-CN"/>
        </w:rPr>
      </w:pPr>
      <w:bookmarkStart w:id="6" w:name="_Toc19117"/>
      <w:bookmarkStart w:id="7" w:name="_Toc54"/>
      <w:bookmarkStart w:id="8" w:name="_Toc5669"/>
      <w:r>
        <w:rPr>
          <w:rFonts w:hint="eastAsia" w:ascii="Times New Roman" w:hAnsi="Times New Roman" w:cs="Times New Roman"/>
          <w:b w:val="0"/>
          <w:lang w:val="en-US" w:eastAsia="zh-CN"/>
        </w:rPr>
        <w:t>三、修业年限</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基本修业年限为3年，学习年限3-5年</w:t>
      </w:r>
    </w:p>
    <w:p>
      <w:pPr>
        <w:pStyle w:val="2"/>
        <w:bidi w:val="0"/>
        <w:rPr>
          <w:rFonts w:hint="eastAsia" w:ascii="Times New Roman" w:hAnsi="Times New Roman" w:cs="Times New Roman"/>
          <w:b w:val="0"/>
          <w:lang w:val="en-US" w:eastAsia="zh-CN"/>
        </w:rPr>
      </w:pPr>
      <w:bookmarkStart w:id="9" w:name="_Toc20372"/>
      <w:bookmarkStart w:id="10" w:name="_Toc20402"/>
      <w:bookmarkStart w:id="11" w:name="_Toc17157"/>
      <w:r>
        <w:rPr>
          <w:rFonts w:hint="eastAsia" w:ascii="Times New Roman" w:hAnsi="Times New Roman" w:cs="Times New Roman"/>
          <w:b w:val="0"/>
          <w:lang w:val="en-US" w:eastAsia="zh-CN"/>
        </w:rPr>
        <w:t>四、职业面向</w:t>
      </w:r>
      <w:bookmarkEnd w:id="9"/>
      <w:bookmarkEnd w:id="10"/>
      <w:bookmarkEnd w:id="11"/>
    </w:p>
    <w:p>
      <w:pPr>
        <w:pStyle w:val="9"/>
        <w:snapToGrid w:val="0"/>
        <w:spacing w:before="0" w:beforeAutospacing="0" w:after="0" w:afterAutospacing="0" w:line="500" w:lineRule="exact"/>
        <w:ind w:firstLine="480"/>
        <w:jc w:val="center"/>
        <w:textAlignment w:val="baseline"/>
        <w:rPr>
          <w:rFonts w:hint="eastAsia" w:ascii="宋体" w:hAnsi="宋体" w:eastAsia="宋体" w:cs="Times New Roman"/>
          <w:b/>
          <w:bCs/>
          <w:kern w:val="2"/>
          <w:szCs w:val="22"/>
        </w:rPr>
      </w:pPr>
      <w:r>
        <w:rPr>
          <w:rFonts w:hint="eastAsia" w:ascii="宋体" w:hAnsi="宋体" w:eastAsia="宋体" w:cs="Times New Roman"/>
          <w:b/>
          <w:bCs/>
          <w:kern w:val="2"/>
          <w:szCs w:val="22"/>
        </w:rPr>
        <w:t>表1 本专业职业面向表</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534"/>
        <w:gridCol w:w="1442"/>
        <w:gridCol w:w="244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pct"/>
            <w:vAlign w:val="center"/>
          </w:tcPr>
          <w:p>
            <w:pPr>
              <w:widowControl/>
              <w:spacing w:line="240" w:lineRule="atLeast"/>
              <w:jc w:val="center"/>
              <w:outlineLvl w:val="0"/>
              <w:rPr>
                <w:rFonts w:ascii="宋体" w:hAnsi="宋体" w:cs="宋体"/>
                <w:b/>
                <w:bCs/>
                <w:kern w:val="0"/>
                <w:szCs w:val="21"/>
              </w:rPr>
            </w:pPr>
            <w:bookmarkStart w:id="12" w:name="_Toc5692"/>
            <w:bookmarkStart w:id="13" w:name="_Toc9749"/>
            <w:bookmarkStart w:id="14" w:name="_Toc26856"/>
            <w:r>
              <w:rPr>
                <w:rFonts w:hint="eastAsia" w:ascii="宋体" w:hAnsi="宋体" w:cs="宋体"/>
                <w:b/>
                <w:bCs/>
                <w:kern w:val="0"/>
                <w:szCs w:val="21"/>
              </w:rPr>
              <w:t>所属专业大类（代码）</w:t>
            </w:r>
            <w:bookmarkEnd w:id="12"/>
            <w:bookmarkEnd w:id="13"/>
            <w:bookmarkEnd w:id="14"/>
          </w:p>
        </w:tc>
        <w:tc>
          <w:tcPr>
            <w:tcW w:w="856" w:type="pct"/>
            <w:vAlign w:val="center"/>
          </w:tcPr>
          <w:p>
            <w:pPr>
              <w:widowControl/>
              <w:spacing w:line="240" w:lineRule="atLeast"/>
              <w:jc w:val="center"/>
              <w:outlineLvl w:val="0"/>
              <w:rPr>
                <w:rFonts w:ascii="宋体" w:hAnsi="宋体" w:cs="宋体"/>
                <w:b/>
                <w:bCs/>
                <w:kern w:val="0"/>
                <w:szCs w:val="21"/>
              </w:rPr>
            </w:pPr>
            <w:bookmarkStart w:id="15" w:name="_Toc22880"/>
            <w:bookmarkStart w:id="16" w:name="_Toc8724"/>
            <w:bookmarkStart w:id="17" w:name="_Toc3752"/>
            <w:r>
              <w:rPr>
                <w:rFonts w:hint="eastAsia" w:ascii="宋体" w:hAnsi="宋体" w:cs="宋体"/>
                <w:b/>
                <w:bCs/>
                <w:kern w:val="0"/>
                <w:szCs w:val="21"/>
              </w:rPr>
              <w:t>所属专业类（代码）</w:t>
            </w:r>
            <w:bookmarkEnd w:id="15"/>
            <w:bookmarkEnd w:id="16"/>
            <w:bookmarkEnd w:id="17"/>
          </w:p>
        </w:tc>
        <w:tc>
          <w:tcPr>
            <w:tcW w:w="805" w:type="pct"/>
            <w:vAlign w:val="center"/>
          </w:tcPr>
          <w:p>
            <w:pPr>
              <w:widowControl/>
              <w:spacing w:line="240" w:lineRule="atLeast"/>
              <w:jc w:val="center"/>
              <w:outlineLvl w:val="0"/>
              <w:rPr>
                <w:rFonts w:ascii="宋体" w:hAnsi="宋体" w:cs="宋体"/>
                <w:b/>
                <w:bCs/>
                <w:kern w:val="0"/>
                <w:szCs w:val="21"/>
              </w:rPr>
            </w:pPr>
            <w:bookmarkStart w:id="18" w:name="_Toc17680"/>
            <w:bookmarkStart w:id="19" w:name="_Toc1933"/>
            <w:bookmarkStart w:id="20" w:name="_Toc16478"/>
            <w:r>
              <w:rPr>
                <w:rFonts w:hint="eastAsia" w:ascii="宋体" w:hAnsi="宋体" w:cs="宋体"/>
                <w:b/>
                <w:bCs/>
                <w:kern w:val="0"/>
                <w:szCs w:val="21"/>
              </w:rPr>
              <w:t>对应行业</w:t>
            </w:r>
            <w:bookmarkEnd w:id="18"/>
            <w:bookmarkEnd w:id="19"/>
            <w:bookmarkEnd w:id="20"/>
          </w:p>
        </w:tc>
        <w:tc>
          <w:tcPr>
            <w:tcW w:w="1363" w:type="pct"/>
            <w:vAlign w:val="center"/>
          </w:tcPr>
          <w:p>
            <w:pPr>
              <w:widowControl/>
              <w:spacing w:line="240" w:lineRule="atLeast"/>
              <w:jc w:val="center"/>
              <w:outlineLvl w:val="0"/>
              <w:rPr>
                <w:rFonts w:ascii="宋体" w:hAnsi="宋体" w:cs="宋体"/>
                <w:b/>
                <w:bCs/>
                <w:kern w:val="0"/>
                <w:szCs w:val="21"/>
              </w:rPr>
            </w:pPr>
            <w:bookmarkStart w:id="21" w:name="_Toc13145"/>
            <w:bookmarkStart w:id="22" w:name="_Toc1524"/>
            <w:bookmarkStart w:id="23" w:name="_Toc18122"/>
            <w:r>
              <w:rPr>
                <w:rFonts w:hint="eastAsia" w:ascii="宋体" w:hAnsi="宋体" w:cs="宋体"/>
                <w:b/>
                <w:bCs/>
                <w:kern w:val="0"/>
                <w:szCs w:val="21"/>
              </w:rPr>
              <w:t>主要职业类别</w:t>
            </w:r>
            <w:bookmarkEnd w:id="21"/>
            <w:bookmarkEnd w:id="22"/>
            <w:bookmarkEnd w:id="23"/>
          </w:p>
        </w:tc>
        <w:tc>
          <w:tcPr>
            <w:tcW w:w="1106" w:type="pct"/>
            <w:vAlign w:val="center"/>
          </w:tcPr>
          <w:p>
            <w:pPr>
              <w:widowControl/>
              <w:spacing w:line="240" w:lineRule="atLeast"/>
              <w:jc w:val="center"/>
              <w:outlineLvl w:val="0"/>
              <w:rPr>
                <w:rFonts w:ascii="宋体" w:hAnsi="宋体" w:cs="宋体"/>
                <w:b/>
                <w:bCs/>
                <w:kern w:val="0"/>
                <w:szCs w:val="21"/>
              </w:rPr>
            </w:pPr>
            <w:bookmarkStart w:id="24" w:name="_Toc8799"/>
            <w:bookmarkStart w:id="25" w:name="_Toc3259"/>
            <w:bookmarkStart w:id="26" w:name="_Toc5008"/>
            <w:r>
              <w:rPr>
                <w:rFonts w:hint="eastAsia" w:ascii="宋体" w:hAnsi="宋体" w:cs="宋体"/>
                <w:b/>
                <w:bCs/>
                <w:kern w:val="0"/>
                <w:szCs w:val="21"/>
              </w:rPr>
              <w:t>主要岗位群或技术领域举例</w:t>
            </w:r>
            <w:bookmarkEnd w:id="24"/>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pct"/>
            <w:vAlign w:val="center"/>
          </w:tcPr>
          <w:p>
            <w:pPr>
              <w:overflowPunct w:val="0"/>
              <w:adjustRightInd w:val="0"/>
              <w:snapToGrid w:val="0"/>
              <w:spacing w:line="240" w:lineRule="atLeast"/>
              <w:jc w:val="center"/>
              <w:rPr>
                <w:rFonts w:ascii="宋体" w:hAnsi="宋体"/>
                <w:w w:val="90"/>
                <w:szCs w:val="21"/>
              </w:rPr>
            </w:pPr>
            <w:r>
              <w:rPr>
                <w:rFonts w:hint="eastAsia" w:ascii="宋体" w:hAnsi="宋体" w:cs="Arial"/>
                <w:szCs w:val="21"/>
                <w:shd w:val="clear" w:color="auto" w:fill="FFFFFF"/>
              </w:rPr>
              <w:t>土木建筑（44）</w:t>
            </w:r>
          </w:p>
        </w:tc>
        <w:tc>
          <w:tcPr>
            <w:tcW w:w="856" w:type="pct"/>
            <w:vAlign w:val="center"/>
          </w:tcPr>
          <w:p>
            <w:pPr>
              <w:overflowPunct w:val="0"/>
              <w:adjustRightInd w:val="0"/>
              <w:snapToGrid w:val="0"/>
              <w:spacing w:line="240" w:lineRule="atLeast"/>
              <w:jc w:val="center"/>
              <w:rPr>
                <w:rFonts w:ascii="宋体" w:hAnsi="宋体"/>
                <w:w w:val="90"/>
                <w:szCs w:val="21"/>
              </w:rPr>
            </w:pPr>
            <w:r>
              <w:rPr>
                <w:rFonts w:hint="eastAsia" w:ascii="宋体" w:hAnsi="宋体" w:cs="Arial"/>
                <w:szCs w:val="21"/>
                <w:shd w:val="clear" w:color="auto" w:fill="FFFFFF"/>
              </w:rPr>
              <w:t>建设工程管理类（44</w:t>
            </w:r>
            <w:r>
              <w:rPr>
                <w:rFonts w:ascii="宋体" w:hAnsi="宋体" w:cs="Arial"/>
                <w:szCs w:val="21"/>
                <w:shd w:val="clear" w:color="auto" w:fill="FFFFFF"/>
              </w:rPr>
              <w:t>05</w:t>
            </w:r>
            <w:r>
              <w:rPr>
                <w:rFonts w:hint="eastAsia" w:ascii="宋体" w:hAnsi="宋体" w:cs="Arial"/>
                <w:szCs w:val="21"/>
                <w:shd w:val="clear" w:color="auto" w:fill="FFFFFF"/>
              </w:rPr>
              <w:t>）</w:t>
            </w:r>
          </w:p>
        </w:tc>
        <w:tc>
          <w:tcPr>
            <w:tcW w:w="805" w:type="pct"/>
            <w:vAlign w:val="center"/>
          </w:tcPr>
          <w:p>
            <w:pPr>
              <w:overflowPunct w:val="0"/>
              <w:adjustRightInd w:val="0"/>
              <w:snapToGrid w:val="0"/>
              <w:spacing w:line="240" w:lineRule="atLeast"/>
              <w:jc w:val="center"/>
              <w:rPr>
                <w:rFonts w:hint="eastAsia" w:ascii="宋体" w:hAnsi="宋体" w:eastAsia="宋体" w:cs="Arial"/>
                <w:szCs w:val="21"/>
                <w:shd w:val="clear" w:color="auto" w:fill="FFFFFF"/>
                <w:lang w:val="en-US" w:eastAsia="zh-CN"/>
              </w:rPr>
            </w:pPr>
            <w:r>
              <w:rPr>
                <w:rFonts w:hint="eastAsia" w:ascii="宋体" w:hAnsi="宋体" w:cs="Arial"/>
                <w:szCs w:val="21"/>
                <w:shd w:val="clear" w:color="auto" w:fill="FFFFFF"/>
              </w:rPr>
              <w:t>专业技术服务</w:t>
            </w:r>
            <w:r>
              <w:rPr>
                <w:rFonts w:hint="eastAsia" w:ascii="宋体" w:hAnsi="宋体" w:cs="Arial"/>
                <w:szCs w:val="21"/>
                <w:shd w:val="clear" w:color="auto" w:fill="FFFFFF"/>
                <w:lang w:val="en-US" w:eastAsia="zh-CN"/>
              </w:rPr>
              <w:t>业（74）</w:t>
            </w:r>
          </w:p>
        </w:tc>
        <w:tc>
          <w:tcPr>
            <w:tcW w:w="1363" w:type="pct"/>
            <w:vAlign w:val="center"/>
          </w:tcPr>
          <w:p>
            <w:pPr>
              <w:pStyle w:val="4"/>
              <w:keepNext w:val="0"/>
              <w:keepLines w:val="0"/>
              <w:pageBreakBefore w:val="0"/>
              <w:kinsoku/>
              <w:wordWrap/>
              <w:overflowPunct/>
              <w:topLinePunct w:val="0"/>
              <w:autoSpaceDE/>
              <w:autoSpaceDN/>
              <w:bidi w:val="0"/>
              <w:adjustRightInd/>
              <w:spacing w:line="240" w:lineRule="auto"/>
              <w:ind w:firstLine="0" w:firstLineChars="0"/>
              <w:jc w:val="center"/>
              <w:rPr>
                <w:rFonts w:hint="eastAsia"/>
              </w:rPr>
            </w:pPr>
            <w:r>
              <w:rPr>
                <w:rFonts w:hint="eastAsia"/>
              </w:rPr>
              <w:t>土木建筑工程技术人员</w:t>
            </w:r>
          </w:p>
          <w:p>
            <w:pPr>
              <w:overflowPunct w:val="0"/>
              <w:adjustRightInd w:val="0"/>
              <w:snapToGrid w:val="0"/>
              <w:spacing w:line="240" w:lineRule="atLeast"/>
              <w:jc w:val="center"/>
              <w:rPr>
                <w:rFonts w:hint="eastAsia"/>
                <w:lang w:val="en-US" w:eastAsia="zh-CN"/>
              </w:rPr>
            </w:pPr>
            <w:r>
              <w:rPr>
                <w:rFonts w:hint="eastAsia"/>
                <w:lang w:val="en-US" w:eastAsia="zh-CN"/>
              </w:rPr>
              <w:t>（2-02-21-03）</w:t>
            </w:r>
          </w:p>
          <w:p>
            <w:pPr>
              <w:pStyle w:val="4"/>
              <w:keepNext w:val="0"/>
              <w:keepLines w:val="0"/>
              <w:pageBreakBefore w:val="0"/>
              <w:kinsoku/>
              <w:wordWrap/>
              <w:overflowPunct/>
              <w:topLinePunct w:val="0"/>
              <w:autoSpaceDE/>
              <w:autoSpaceDN/>
              <w:bidi w:val="0"/>
              <w:adjustRightInd/>
              <w:spacing w:line="240" w:lineRule="auto"/>
              <w:ind w:firstLine="0" w:firstLineChars="0"/>
              <w:jc w:val="center"/>
              <w:rPr>
                <w:rFonts w:hint="eastAsia" w:ascii="Times New Roman" w:hAnsi="Times New Roman" w:eastAsia="宋体" w:cs="Times New Roman"/>
              </w:rPr>
            </w:pPr>
            <w:r>
              <w:rPr>
                <w:rFonts w:hint="eastAsia" w:ascii="Times New Roman" w:hAnsi="Times New Roman" w:eastAsia="宋体" w:cs="Times New Roman"/>
              </w:rPr>
              <w:t>装配式建筑施工员</w:t>
            </w:r>
          </w:p>
          <w:p>
            <w:pPr>
              <w:pStyle w:val="4"/>
              <w:keepNext w:val="0"/>
              <w:keepLines w:val="0"/>
              <w:pageBreakBefore w:val="0"/>
              <w:kinsoku/>
              <w:wordWrap/>
              <w:overflowPunct/>
              <w:topLinePunct w:val="0"/>
              <w:autoSpaceDE/>
              <w:autoSpaceDN/>
              <w:bidi w:val="0"/>
              <w:adjustRightInd/>
              <w:spacing w:line="240" w:lineRule="auto"/>
              <w:ind w:firstLine="0" w:firstLineChars="0"/>
              <w:jc w:val="center"/>
            </w:pPr>
            <w:r>
              <w:rPr>
                <w:rFonts w:hint="eastAsia" w:ascii="Times New Roman" w:hAnsi="Times New Roman" w:eastAsia="宋体" w:cs="Times New Roman"/>
                <w:lang w:eastAsia="zh-CN"/>
              </w:rPr>
              <w:t>（</w:t>
            </w:r>
            <w:r>
              <w:rPr>
                <w:rFonts w:hint="eastAsia"/>
              </w:rPr>
              <w:t>6-29-99-00</w:t>
            </w:r>
            <w:r>
              <w:rPr>
                <w:rFonts w:hint="eastAsia" w:ascii="Times New Roman" w:hAnsi="Times New Roman" w:eastAsia="宋体" w:cs="Times New Roman"/>
                <w:lang w:eastAsia="zh-CN"/>
              </w:rPr>
              <w:t>）</w:t>
            </w:r>
          </w:p>
        </w:tc>
        <w:tc>
          <w:tcPr>
            <w:tcW w:w="1106" w:type="pct"/>
            <w:vAlign w:val="center"/>
          </w:tcPr>
          <w:p>
            <w:pPr>
              <w:overflowPunct w:val="0"/>
              <w:adjustRightInd w:val="0"/>
              <w:snapToGrid w:val="0"/>
              <w:spacing w:line="240" w:lineRule="atLeast"/>
              <w:jc w:val="center"/>
              <w:rPr>
                <w:rFonts w:hint="eastAsia" w:ascii="宋体" w:hAnsi="宋体" w:cs="Arial"/>
                <w:szCs w:val="21"/>
                <w:shd w:val="clear" w:color="auto" w:fill="FFFFFF"/>
                <w:lang w:val="en-US" w:eastAsia="zh-CN"/>
              </w:rPr>
            </w:pPr>
            <w:r>
              <w:rPr>
                <w:rFonts w:hint="eastAsia" w:ascii="宋体" w:hAnsi="宋体" w:cs="Arial"/>
                <w:szCs w:val="21"/>
                <w:shd w:val="clear" w:color="auto" w:fill="FFFFFF"/>
                <w:lang w:val="en-US" w:eastAsia="zh-CN"/>
              </w:rPr>
              <w:t>资料员；</w:t>
            </w:r>
          </w:p>
          <w:p>
            <w:pPr>
              <w:overflowPunct w:val="0"/>
              <w:adjustRightInd w:val="0"/>
              <w:snapToGrid w:val="0"/>
              <w:spacing w:line="240" w:lineRule="atLeast"/>
              <w:jc w:val="center"/>
              <w:rPr>
                <w:rFonts w:hint="eastAsia" w:ascii="宋体" w:hAnsi="宋体" w:eastAsia="宋体" w:cs="Arial"/>
                <w:szCs w:val="21"/>
                <w:shd w:val="clear" w:color="auto" w:fill="FFFFFF"/>
                <w:lang w:eastAsia="zh-CN"/>
              </w:rPr>
            </w:pPr>
            <w:r>
              <w:rPr>
                <w:rFonts w:hint="eastAsia" w:ascii="宋体" w:hAnsi="宋体" w:cs="Arial"/>
                <w:szCs w:val="21"/>
                <w:shd w:val="clear" w:color="auto" w:fill="FFFFFF"/>
              </w:rPr>
              <w:t>安全员</w:t>
            </w:r>
            <w:r>
              <w:rPr>
                <w:rFonts w:hint="eastAsia" w:ascii="宋体" w:hAnsi="宋体" w:cs="Arial"/>
                <w:szCs w:val="21"/>
                <w:shd w:val="clear" w:color="auto" w:fill="FFFFFF"/>
                <w:lang w:eastAsia="zh-CN"/>
              </w:rPr>
              <w:t>；</w:t>
            </w:r>
          </w:p>
          <w:p>
            <w:pPr>
              <w:overflowPunct w:val="0"/>
              <w:adjustRightInd w:val="0"/>
              <w:snapToGrid w:val="0"/>
              <w:spacing w:line="240" w:lineRule="atLeast"/>
              <w:jc w:val="center"/>
              <w:rPr>
                <w:rFonts w:hint="eastAsia" w:ascii="宋体" w:hAnsi="宋体" w:eastAsia="宋体" w:cs="Arial"/>
                <w:szCs w:val="21"/>
                <w:shd w:val="clear" w:color="auto" w:fill="FFFFFF"/>
                <w:lang w:eastAsia="zh-CN"/>
              </w:rPr>
            </w:pPr>
            <w:r>
              <w:rPr>
                <w:rFonts w:hint="eastAsia" w:ascii="宋体" w:hAnsi="宋体" w:cs="Arial"/>
                <w:szCs w:val="21"/>
                <w:shd w:val="clear" w:color="auto" w:fill="FFFFFF"/>
              </w:rPr>
              <w:t>质量员</w:t>
            </w:r>
            <w:r>
              <w:rPr>
                <w:rFonts w:hint="eastAsia" w:ascii="宋体" w:hAnsi="宋体" w:cs="Arial"/>
                <w:szCs w:val="21"/>
                <w:shd w:val="clear" w:color="auto" w:fill="FFFFFF"/>
                <w:lang w:eastAsia="zh-CN"/>
              </w:rPr>
              <w:t>；</w:t>
            </w:r>
          </w:p>
          <w:p>
            <w:pPr>
              <w:overflowPunct w:val="0"/>
              <w:adjustRightInd w:val="0"/>
              <w:snapToGrid w:val="0"/>
              <w:spacing w:line="240" w:lineRule="atLeast"/>
              <w:ind w:firstLine="420" w:firstLineChars="200"/>
              <w:jc w:val="both"/>
              <w:rPr>
                <w:rFonts w:hint="eastAsia" w:ascii="宋体" w:hAnsi="宋体" w:eastAsia="宋体" w:cs="Arial"/>
                <w:szCs w:val="21"/>
                <w:shd w:val="clear" w:color="auto" w:fill="FFFFFF"/>
                <w:lang w:eastAsia="zh-CN"/>
              </w:rPr>
            </w:pPr>
            <w:r>
              <w:rPr>
                <w:rFonts w:hint="eastAsia" w:ascii="宋体" w:hAnsi="宋体" w:cs="Arial"/>
                <w:szCs w:val="21"/>
                <w:shd w:val="clear" w:color="auto" w:fill="FFFFFF"/>
              </w:rPr>
              <w:t>施工员</w:t>
            </w:r>
          </w:p>
        </w:tc>
      </w:tr>
    </w:tbl>
    <w:p>
      <w:pPr>
        <w:pStyle w:val="2"/>
        <w:bidi w:val="0"/>
        <w:rPr>
          <w:rFonts w:hint="eastAsia" w:ascii="Times New Roman" w:hAnsi="Times New Roman" w:cs="Times New Roman"/>
          <w:b w:val="0"/>
          <w:lang w:val="en-US" w:eastAsia="zh-CN"/>
        </w:rPr>
      </w:pPr>
      <w:bookmarkStart w:id="27" w:name="_Toc32221"/>
      <w:bookmarkStart w:id="28" w:name="_Toc1823"/>
      <w:bookmarkStart w:id="29" w:name="_Toc13585"/>
      <w:r>
        <w:rPr>
          <w:rFonts w:hint="eastAsia" w:ascii="Times New Roman" w:hAnsi="Times New Roman" w:cs="Times New Roman"/>
          <w:b w:val="0"/>
          <w:lang w:val="en-US" w:eastAsia="zh-CN"/>
        </w:rPr>
        <w:t>五、培养目标与培养规格</w:t>
      </w:r>
      <w:bookmarkEnd w:id="27"/>
      <w:bookmarkEnd w:id="28"/>
      <w:bookmarkEnd w:id="29"/>
    </w:p>
    <w:p>
      <w:pPr>
        <w:pStyle w:val="3"/>
        <w:bidi w:val="0"/>
        <w:rPr>
          <w:rFonts w:hint="eastAsia"/>
        </w:rPr>
      </w:pPr>
      <w:bookmarkStart w:id="30" w:name="_Toc28091"/>
      <w:bookmarkStart w:id="31" w:name="_Toc321"/>
      <w:r>
        <w:rPr>
          <w:rFonts w:hint="eastAsia"/>
        </w:rPr>
        <w:t>（一）培养目标</w:t>
      </w:r>
      <w:bookmarkEnd w:id="30"/>
      <w:bookmarkEnd w:id="31"/>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培养思想政治坚定、德技并修、全面发展，适应建筑行业工程项目管理发展需要，具有建设工程项目精细化管理理念及现代工程管理人员应有的“守法、诚信、严谨、创新”的职业素养，具备一定的创新精神和创业能力，掌握建设工程项目招投标阶段和施工阶段所必需的技术、法律、管理等专业知识，具备建设工程项目投资决策、组织与协调、管理与控制等技术技能，面向建筑类企事业单位从事招投标、施工管理、咨询服务等职业岗位领域的高素质技术技能人才。</w:t>
      </w:r>
    </w:p>
    <w:p>
      <w:pPr>
        <w:pStyle w:val="3"/>
        <w:bidi w:val="0"/>
        <w:ind w:firstLine="880"/>
        <w:rPr>
          <w:rFonts w:hint="eastAsia" w:ascii="Arial" w:hAnsi="Arial" w:eastAsia="宋体" w:cs="Times New Roman"/>
        </w:rPr>
      </w:pPr>
      <w:bookmarkStart w:id="32" w:name="_Toc29374"/>
      <w:bookmarkStart w:id="33" w:name="_Toc29191"/>
      <w:r>
        <w:rPr>
          <w:rFonts w:hint="eastAsia" w:ascii="Arial" w:hAnsi="Arial" w:eastAsia="宋体" w:cs="Times New Roman"/>
        </w:rPr>
        <w:t>（二）培养规格</w:t>
      </w:r>
      <w:bookmarkEnd w:id="32"/>
      <w:bookmarkEnd w:id="3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人才培养规格包括工作岗位、知识、能力及素质结构分析与职业证书考证要求。</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1.工作岗位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核心岗位：</w:t>
      </w:r>
      <w:r>
        <w:rPr>
          <w:rFonts w:hint="eastAsia" w:ascii="宋体" w:hAnsi="宋体" w:eastAsia="宋体" w:cs="宋体"/>
          <w:sz w:val="24"/>
          <w:szCs w:val="24"/>
          <w:lang w:val="en-US" w:eastAsia="zh-CN"/>
        </w:rPr>
        <w:t>土木建筑工程技术人员</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拓展岗位：造价咨询、BIM建模</w:t>
      </w:r>
      <w:r>
        <w:rPr>
          <w:rFonts w:hint="eastAsia" w:ascii="宋体" w:hAnsi="宋体" w:eastAsia="宋体" w:cs="宋体"/>
          <w:sz w:val="24"/>
          <w:szCs w:val="24"/>
          <w:lang w:val="en-US" w:eastAsia="zh-CN"/>
        </w:rPr>
        <w:t>工程师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发展岗位：技术负责人、项目经理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黑体" w:hAnsi="黑体" w:eastAsia="黑体" w:cs="黑体"/>
          <w:kern w:val="2"/>
          <w:sz w:val="44"/>
          <w:szCs w:val="44"/>
        </w:rPr>
      </w:pPr>
      <w:r>
        <w:rPr>
          <w:rFonts w:hint="eastAsia" w:ascii="宋体" w:hAnsi="宋体" w:eastAsia="宋体" w:cs="宋体"/>
          <w:b/>
          <w:bCs/>
          <w:sz w:val="24"/>
          <w:szCs w:val="24"/>
        </w:rPr>
        <w:t>2.知识、能力及素质结构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知识结构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1）通用知识：体育锻炼、政治理论及文化基础、素质拓展、创新创业等基本知识。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2）专业一般知识：工程材料、工程测量、建筑工程识图与构造、建筑结构与识图、装配式建筑构造、工程资料编制与管理、工程基础软件应用等专业知识。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3）专业核心知识：</w:t>
      </w:r>
      <w:r>
        <w:rPr>
          <w:rFonts w:hint="eastAsia" w:ascii="宋体" w:hAnsi="宋体" w:eastAsia="宋体" w:cs="宋体"/>
          <w:sz w:val="24"/>
          <w:szCs w:val="24"/>
          <w:lang w:eastAsia="zh-CN"/>
        </w:rPr>
        <w:t>建筑施工组织设计与管理</w:t>
      </w:r>
      <w:r>
        <w:rPr>
          <w:rFonts w:hint="eastAsia" w:ascii="宋体" w:hAnsi="宋体" w:eastAsia="宋体" w:cs="宋体"/>
          <w:sz w:val="24"/>
          <w:szCs w:val="24"/>
        </w:rPr>
        <w:t>、</w:t>
      </w:r>
      <w:r>
        <w:rPr>
          <w:rFonts w:hint="eastAsia" w:ascii="宋体" w:hAnsi="宋体" w:eastAsia="宋体" w:cs="宋体"/>
          <w:sz w:val="24"/>
          <w:szCs w:val="24"/>
          <w:lang w:eastAsia="zh-CN"/>
        </w:rPr>
        <w:t>建筑工程计量与计价实务</w:t>
      </w:r>
      <w:r>
        <w:rPr>
          <w:rFonts w:hint="eastAsia" w:ascii="宋体" w:hAnsi="宋体" w:eastAsia="宋体" w:cs="宋体"/>
          <w:sz w:val="24"/>
          <w:szCs w:val="24"/>
        </w:rPr>
        <w:t>、工程建设法规与合同管理、建筑施工技术、建筑工程项目管理、BIM5D应用分析等专业知识。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能力结构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1）岗位通用能力：具备体育锻炼方面的技能、政治理论应用能力、英语应用能力、数学应用能力、应用文写作及语言组织能力、计算机应用能力、知识综合运用能力及可持续发展能力。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2）专业一般能力：工程材料选用能力、工程结构分析计算能力、工程量计算及初步计价能力、工程资料编制与管理能力、工程基础软件应用能力。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3）专业核心能力：建筑工程施工图识图能力、建筑工程施工技术应用能力、建筑工程施工组织与协调能力、建筑工程项目管理能力、工程招投标与合同管理能力、BIM技术应用能力。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）素质结构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1）核心职业素质：具有从事工程类职业岗位必备的吃苦耐劳、坚守岗位、主动工作、精益求精、敬业创新的现代鲁班工匠精神；具有良好的从业安全意识、质量意识和环保意识；良好的工程组织协调能力。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kern w:val="2"/>
        </w:rPr>
      </w:pPr>
      <w:r>
        <w:rPr>
          <w:rFonts w:hint="eastAsia" w:ascii="宋体" w:hAnsi="宋体" w:eastAsia="宋体" w:cs="宋体"/>
          <w:sz w:val="24"/>
          <w:szCs w:val="24"/>
          <w:lang w:eastAsia="zh-CN"/>
        </w:rPr>
        <w:t>2）一般职业素质：具有良好的自我管理与约束能力；具有健康的体魄、健康的心理和乐观的人生态度；诚实守信，团结协作；遵守相关法律法规、标准和管理规定；具有终生学习理念及严谨务实工作作风。</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sz w:val="24"/>
          <w:szCs w:val="24"/>
        </w:rPr>
      </w:pPr>
      <w:bookmarkStart w:id="34" w:name="_Toc29493"/>
      <w:r>
        <w:rPr>
          <w:rFonts w:hint="eastAsia" w:ascii="宋体" w:hAnsi="宋体" w:eastAsia="宋体" w:cs="宋体"/>
          <w:b/>
          <w:bCs/>
          <w:sz w:val="24"/>
          <w:szCs w:val="24"/>
          <w:lang w:val="en-US" w:eastAsia="zh-CN"/>
        </w:rPr>
        <w:t>3.职业证书</w:t>
      </w:r>
      <w:r>
        <w:rPr>
          <w:rFonts w:hint="eastAsia" w:ascii="宋体" w:hAnsi="宋体" w:eastAsia="宋体" w:cs="宋体"/>
          <w:b/>
          <w:bCs/>
          <w:sz w:val="24"/>
          <w:szCs w:val="24"/>
        </w:rPr>
        <w:t>考证要求</w:t>
      </w:r>
      <w:bookmarkEnd w:id="34"/>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专业证书</w:t>
      </w:r>
    </w:p>
    <w:p>
      <w:pPr>
        <w:pStyle w:val="9"/>
        <w:snapToGrid w:val="0"/>
        <w:spacing w:before="0" w:beforeAutospacing="0" w:after="0" w:afterAutospacing="0" w:line="500" w:lineRule="exact"/>
        <w:ind w:firstLine="480"/>
        <w:jc w:val="center"/>
        <w:textAlignment w:val="baseline"/>
        <w:rPr>
          <w:rFonts w:hint="eastAsia" w:ascii="宋体" w:hAnsi="宋体" w:eastAsia="宋体" w:cs="Times New Roman"/>
          <w:b/>
          <w:bCs/>
          <w:kern w:val="2"/>
          <w:szCs w:val="22"/>
        </w:rPr>
      </w:pPr>
      <w:r>
        <w:rPr>
          <w:rFonts w:hint="eastAsia" w:ascii="宋体" w:hAnsi="宋体" w:eastAsia="宋体" w:cs="Times New Roman"/>
          <w:b/>
          <w:bCs/>
          <w:kern w:val="2"/>
          <w:szCs w:val="22"/>
        </w:rPr>
        <w:t>表2 本专业可考取的职业资格证书</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762"/>
        <w:gridCol w:w="272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7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Cs w:val="21"/>
              </w:rPr>
            </w:pPr>
            <w:r>
              <w:rPr>
                <w:rFonts w:hint="eastAsia" w:ascii="宋体" w:hAnsi="宋体"/>
                <w:b/>
                <w:szCs w:val="21"/>
              </w:rPr>
              <w:t>序号</w:t>
            </w:r>
          </w:p>
        </w:tc>
        <w:tc>
          <w:tcPr>
            <w:tcW w:w="15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Cs w:val="21"/>
              </w:rPr>
            </w:pPr>
            <w:r>
              <w:rPr>
                <w:rFonts w:hint="eastAsia" w:ascii="宋体" w:hAnsi="宋体"/>
                <w:b/>
                <w:szCs w:val="21"/>
              </w:rPr>
              <w:t>证书名称</w:t>
            </w:r>
          </w:p>
        </w:tc>
        <w:tc>
          <w:tcPr>
            <w:tcW w:w="15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Cs w:val="21"/>
              </w:rPr>
            </w:pPr>
            <w:r>
              <w:rPr>
                <w:rFonts w:hint="eastAsia" w:ascii="宋体" w:hAnsi="宋体"/>
                <w:b/>
                <w:szCs w:val="21"/>
              </w:rPr>
              <w:t>发证机构</w:t>
            </w:r>
          </w:p>
        </w:tc>
        <w:tc>
          <w:tcPr>
            <w:tcW w:w="156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b/>
                <w:szCs w:val="21"/>
              </w:rPr>
            </w:pPr>
            <w:r>
              <w:rPr>
                <w:rFonts w:hint="eastAsia" w:ascii="宋体" w:hAnsi="宋体"/>
                <w:b/>
                <w:szCs w:val="21"/>
              </w:rPr>
              <w:t>考证时间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72"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1541"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1+X建筑工程施工工艺实施与管理职业技能等级证书（初级、中级、高级）</w:t>
            </w:r>
          </w:p>
        </w:tc>
        <w:tc>
          <w:tcPr>
            <w:tcW w:w="1520"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中铁二十局集团有限公司</w:t>
            </w:r>
          </w:p>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p>
        </w:tc>
        <w:tc>
          <w:tcPr>
            <w:tcW w:w="1565"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每年举行4次考试，初、中级建议第二、第四学期考；高级建议第五、六学期考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72"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p>
        </w:tc>
        <w:tc>
          <w:tcPr>
            <w:tcW w:w="1541"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1+X建筑信息模型（BIM）职业技能等级证书（初级、中级、高级）</w:t>
            </w:r>
          </w:p>
        </w:tc>
        <w:tc>
          <w:tcPr>
            <w:tcW w:w="1520"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廊坊市中科建筑产业化创新研究中心</w:t>
            </w:r>
          </w:p>
        </w:tc>
        <w:tc>
          <w:tcPr>
            <w:tcW w:w="1565"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每年举行4次考试，初、中级建议第二、第四学期考；高级建议第五、六学期考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72"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1541"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1+X建筑工程识图职业技能等级证书（中级、高级）</w:t>
            </w:r>
          </w:p>
        </w:tc>
        <w:tc>
          <w:tcPr>
            <w:tcW w:w="1520"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广州中望龙腾软件股份有限公司</w:t>
            </w:r>
          </w:p>
        </w:tc>
        <w:tc>
          <w:tcPr>
            <w:tcW w:w="1565"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每年举行多次考试，中级建议第二学期考、高级建议第三学期考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72"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p>
        </w:tc>
        <w:tc>
          <w:tcPr>
            <w:tcW w:w="1541"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 +X装配式建筑构件制作与安装职业技能等级证书（初级、中级、高级）</w:t>
            </w:r>
          </w:p>
        </w:tc>
        <w:tc>
          <w:tcPr>
            <w:tcW w:w="1520"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廊坊市中科建筑产业化创新研究中心</w:t>
            </w:r>
          </w:p>
        </w:tc>
        <w:tc>
          <w:tcPr>
            <w:tcW w:w="1565"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每年举行4次考试，初、中级建议第二、第四学期考；高级建议第五、六学期考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72"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p>
        </w:tc>
        <w:tc>
          <w:tcPr>
            <w:tcW w:w="1541"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住房与城乡建设领域施工现场专业人员岗位证书</w:t>
            </w:r>
          </w:p>
        </w:tc>
        <w:tc>
          <w:tcPr>
            <w:tcW w:w="1520"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住房和城乡建设部</w:t>
            </w:r>
          </w:p>
        </w:tc>
        <w:tc>
          <w:tcPr>
            <w:tcW w:w="1565"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每月一次，建议第五、第六学期考。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72"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w:t>
            </w:r>
          </w:p>
        </w:tc>
        <w:tc>
          <w:tcPr>
            <w:tcW w:w="1541"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CAD技能等级考试（初级、中级）</w:t>
            </w:r>
          </w:p>
        </w:tc>
        <w:tc>
          <w:tcPr>
            <w:tcW w:w="1520"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欧特克、中国图学学会</w:t>
            </w:r>
          </w:p>
        </w:tc>
        <w:tc>
          <w:tcPr>
            <w:tcW w:w="1565"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每年举行多次考试，建议第三、第四学期考。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72"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w:t>
            </w:r>
          </w:p>
        </w:tc>
        <w:tc>
          <w:tcPr>
            <w:tcW w:w="1541"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职业技能等级证书（初级、中级、高级）</w:t>
            </w:r>
          </w:p>
        </w:tc>
        <w:tc>
          <w:tcPr>
            <w:tcW w:w="1520"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各地人力资源和社会保障部</w:t>
            </w:r>
          </w:p>
        </w:tc>
        <w:tc>
          <w:tcPr>
            <w:tcW w:w="1565" w:type="pct"/>
            <w:noWrap w:val="0"/>
            <w:vAlign w:val="center"/>
          </w:tcPr>
          <w:p>
            <w:pPr>
              <w:keepNext w:val="0"/>
              <w:keepLines w:val="0"/>
              <w:pageBreakBefore w:val="0"/>
              <w:widowControl w:val="0"/>
              <w:tabs>
                <w:tab w:val="left" w:pos="2590"/>
              </w:tabs>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每年举行多次考试，建议第三、第四学期考。</w:t>
            </w:r>
          </w:p>
        </w:tc>
      </w:tr>
    </w:tbl>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sz w:val="24"/>
          <w:szCs w:val="24"/>
          <w:lang w:eastAsia="zh-CN"/>
        </w:rPr>
      </w:pPr>
      <w:r>
        <w:rPr>
          <w:rFonts w:hint="eastAsia" w:ascii="宋体" w:hAnsi="宋体" w:eastAsia="宋体" w:cs="宋体"/>
          <w:b/>
          <w:bCs/>
          <w:sz w:val="21"/>
          <w:szCs w:val="21"/>
          <w:lang w:eastAsia="zh-CN"/>
        </w:rPr>
        <w:t>备注：</w:t>
      </w:r>
      <w:r>
        <w:rPr>
          <w:rFonts w:hint="eastAsia" w:ascii="宋体" w:hAnsi="宋体" w:eastAsia="宋体" w:cs="宋体"/>
          <w:sz w:val="21"/>
          <w:szCs w:val="21"/>
          <w:lang w:eastAsia="zh-CN"/>
        </w:rPr>
        <w:t>建筑信息模型（BIM）职业技能等级证书与CAD技能等级考试对应课程对接，考出证书可以证代考，详见对应课程</w:t>
      </w:r>
      <w:r>
        <w:rPr>
          <w:rFonts w:hint="eastAsia" w:ascii="宋体" w:hAnsi="宋体" w:eastAsia="宋体" w:cs="宋体"/>
          <w:sz w:val="21"/>
          <w:szCs w:val="21"/>
          <w:lang w:val="en-US" w:eastAsia="zh-CN"/>
        </w:rPr>
        <w:t>的课程标准</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（2）外语和计算机等级证书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1）鼓励学生考取高等学校英语应用能力B级，英语应用能力A级、浙江省大学英语等级三级、全国大学英语等级考试四、六级证书。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2）鼓励考取浙江省高等学校计算机等级一级Windows、浙江省高等学校计算机等级二级办公软件高级应用技术。</w:t>
      </w:r>
    </w:p>
    <w:p>
      <w:pPr>
        <w:pStyle w:val="2"/>
        <w:bidi w:val="0"/>
        <w:rPr>
          <w:rFonts w:hint="eastAsia" w:ascii="Times New Roman" w:hAnsi="Times New Roman" w:cs="Times New Roman"/>
          <w:b w:val="0"/>
          <w:lang w:val="en-US" w:eastAsia="zh-CN"/>
        </w:rPr>
      </w:pPr>
      <w:bookmarkStart w:id="35" w:name="_Toc19109"/>
      <w:bookmarkStart w:id="36" w:name="_Toc10593"/>
      <w:r>
        <w:rPr>
          <w:rFonts w:hint="eastAsia" w:ascii="Times New Roman" w:hAnsi="Times New Roman" w:cs="Times New Roman"/>
          <w:b w:val="0"/>
          <w:lang w:val="en-US" w:eastAsia="zh-CN"/>
        </w:rPr>
        <w:t>六、课程设置与要求</w:t>
      </w:r>
      <w:bookmarkEnd w:id="35"/>
      <w:bookmarkEnd w:id="36"/>
    </w:p>
    <w:p>
      <w:pPr>
        <w:pStyle w:val="3"/>
        <w:bidi w:val="0"/>
        <w:ind w:firstLine="880"/>
        <w:rPr>
          <w:rFonts w:hint="eastAsia" w:ascii="Arial" w:hAnsi="Arial" w:eastAsia="宋体" w:cs="Times New Roman"/>
          <w:lang w:val="en-US" w:eastAsia="zh-CN"/>
        </w:rPr>
      </w:pPr>
      <w:bookmarkStart w:id="37" w:name="_Toc6610"/>
      <w:bookmarkStart w:id="38" w:name="_Toc2368"/>
      <w:r>
        <w:rPr>
          <w:rFonts w:hint="eastAsia" w:ascii="Arial" w:hAnsi="Arial" w:eastAsia="宋体" w:cs="Times New Roman"/>
          <w:lang w:val="en-US" w:eastAsia="zh-CN"/>
        </w:rPr>
        <w:t>（一）公共基础课程</w:t>
      </w:r>
      <w:bookmarkEnd w:id="37"/>
      <w:bookmarkEnd w:id="38"/>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共基础课程包括必修课、限选课与任选课（全院性公共选修课）。公共基础必修课包括：思想道德与法治、毛泽东思想和中国特色社会主义理论体系概论、体育（Ⅰ）（Ⅱ）（Ⅲ）、军事理论、军事技能、形势与政策、“四史”教育（中国共产党简史）、习近平新时代中国特色社会主义思想概论、大学生职业发展与就业指导、大学生心理健康教育。</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共基础限选课包括：高职英语、高职数学、高职语文、高职计算机应用基础等课程；让每位学生积极参与并完成劳动实践、创新创业实践、社团、志愿服务及其他社会公益活动等，且至少获2个学分。公共基础任选课根据课程类型分为素质拓展、创新创业、人文美育、四史教育等，学生须选足10个学分，其中创新创业类不低于2学分，人文美育类不低于2学分。具体课程名称及教学内容与要求详见表4。</w:t>
      </w:r>
    </w:p>
    <w:p>
      <w:pPr>
        <w:pStyle w:val="9"/>
        <w:snapToGrid w:val="0"/>
        <w:spacing w:before="0" w:beforeAutospacing="0" w:after="0" w:afterAutospacing="0" w:line="500" w:lineRule="exact"/>
        <w:ind w:firstLine="480"/>
        <w:jc w:val="center"/>
        <w:textAlignment w:val="baseline"/>
        <w:rPr>
          <w:rFonts w:hint="eastAsia" w:ascii="宋体" w:hAnsi="宋体" w:eastAsia="宋体" w:cs="Times New Roman"/>
          <w:b/>
          <w:bCs/>
          <w:kern w:val="2"/>
          <w:szCs w:val="22"/>
        </w:rPr>
      </w:pPr>
      <w:r>
        <w:rPr>
          <w:rFonts w:hint="eastAsia" w:ascii="宋体" w:hAnsi="宋体" w:eastAsia="宋体" w:cs="Times New Roman"/>
          <w:b/>
          <w:bCs/>
          <w:kern w:val="2"/>
          <w:szCs w:val="22"/>
        </w:rPr>
        <w:t>表</w:t>
      </w:r>
      <w:r>
        <w:rPr>
          <w:rFonts w:hint="eastAsia" w:ascii="宋体" w:hAnsi="宋体" w:eastAsia="宋体" w:cs="Times New Roman"/>
          <w:b/>
          <w:bCs/>
          <w:kern w:val="2"/>
          <w:szCs w:val="22"/>
          <w:lang w:val="en-US" w:eastAsia="zh-CN"/>
        </w:rPr>
        <w:t xml:space="preserve">3 </w:t>
      </w:r>
      <w:r>
        <w:rPr>
          <w:rFonts w:hint="eastAsia" w:ascii="宋体" w:hAnsi="宋体" w:eastAsia="宋体" w:cs="Times New Roman"/>
          <w:b/>
          <w:bCs/>
          <w:kern w:val="2"/>
          <w:szCs w:val="22"/>
        </w:rPr>
        <w:t>公共基础课教学内容与要求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48"/>
        <w:gridCol w:w="406"/>
        <w:gridCol w:w="3886"/>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outlineLvl w:val="0"/>
              <w:rPr>
                <w:rFonts w:ascii="宋体" w:hAnsi="宋体" w:cs="宋体"/>
                <w:b/>
                <w:bCs/>
                <w:kern w:val="0"/>
                <w:szCs w:val="21"/>
              </w:rPr>
            </w:pPr>
            <w:bookmarkStart w:id="39" w:name="_Toc22472"/>
            <w:bookmarkStart w:id="40" w:name="_Toc17554"/>
            <w:bookmarkStart w:id="41" w:name="_Toc12046"/>
            <w:r>
              <w:rPr>
                <w:rFonts w:hint="eastAsia" w:ascii="宋体" w:hAnsi="宋体" w:cs="宋体"/>
                <w:b/>
                <w:bCs/>
                <w:kern w:val="0"/>
                <w:szCs w:val="21"/>
              </w:rPr>
              <w:t>序号</w:t>
            </w:r>
            <w:bookmarkEnd w:id="39"/>
            <w:bookmarkEnd w:id="40"/>
            <w:bookmarkEnd w:id="41"/>
          </w:p>
        </w:tc>
        <w:tc>
          <w:tcPr>
            <w:tcW w:w="748" w:type="dxa"/>
            <w:vAlign w:val="center"/>
          </w:tcPr>
          <w:p>
            <w:pPr>
              <w:widowControl/>
              <w:spacing w:line="0" w:lineRule="atLeast"/>
              <w:outlineLvl w:val="0"/>
              <w:rPr>
                <w:rFonts w:ascii="宋体" w:hAnsi="宋体" w:cs="宋体"/>
                <w:b/>
                <w:bCs/>
                <w:kern w:val="0"/>
                <w:szCs w:val="21"/>
              </w:rPr>
            </w:pPr>
            <w:bookmarkStart w:id="42" w:name="_Toc20838"/>
            <w:bookmarkStart w:id="43" w:name="_Toc25768"/>
            <w:bookmarkStart w:id="44" w:name="_Toc10193"/>
            <w:r>
              <w:rPr>
                <w:rFonts w:hint="eastAsia" w:ascii="宋体" w:hAnsi="宋体" w:cs="宋体"/>
                <w:b/>
                <w:bCs/>
                <w:kern w:val="0"/>
                <w:szCs w:val="21"/>
              </w:rPr>
              <w:t>课程名称</w:t>
            </w:r>
            <w:bookmarkEnd w:id="42"/>
            <w:bookmarkEnd w:id="43"/>
            <w:bookmarkEnd w:id="44"/>
          </w:p>
        </w:tc>
        <w:tc>
          <w:tcPr>
            <w:tcW w:w="406" w:type="dxa"/>
            <w:vAlign w:val="center"/>
          </w:tcPr>
          <w:p>
            <w:pPr>
              <w:widowControl/>
              <w:spacing w:line="0" w:lineRule="atLeast"/>
              <w:outlineLvl w:val="0"/>
              <w:rPr>
                <w:rFonts w:ascii="宋体" w:hAnsi="宋体" w:cs="宋体"/>
                <w:b/>
                <w:bCs/>
                <w:kern w:val="0"/>
                <w:szCs w:val="21"/>
              </w:rPr>
            </w:pPr>
            <w:bookmarkStart w:id="45" w:name="_Toc20236"/>
            <w:bookmarkStart w:id="46" w:name="_Toc10195"/>
            <w:bookmarkStart w:id="47" w:name="_Toc4019"/>
            <w:r>
              <w:rPr>
                <w:rFonts w:hint="eastAsia" w:ascii="宋体" w:hAnsi="宋体" w:cs="宋体"/>
                <w:b/>
                <w:bCs/>
                <w:kern w:val="0"/>
                <w:szCs w:val="21"/>
              </w:rPr>
              <w:t>课程类别</w:t>
            </w:r>
            <w:bookmarkEnd w:id="45"/>
            <w:bookmarkEnd w:id="46"/>
            <w:bookmarkEnd w:id="47"/>
          </w:p>
        </w:tc>
        <w:tc>
          <w:tcPr>
            <w:tcW w:w="3886" w:type="dxa"/>
            <w:vAlign w:val="center"/>
          </w:tcPr>
          <w:p>
            <w:pPr>
              <w:widowControl/>
              <w:spacing w:line="0" w:lineRule="atLeast"/>
              <w:jc w:val="center"/>
              <w:outlineLvl w:val="0"/>
              <w:rPr>
                <w:rFonts w:ascii="宋体" w:hAnsi="宋体" w:cs="宋体"/>
                <w:b/>
                <w:bCs/>
                <w:kern w:val="0"/>
                <w:szCs w:val="21"/>
              </w:rPr>
            </w:pPr>
            <w:bookmarkStart w:id="48" w:name="_Toc1799"/>
            <w:bookmarkStart w:id="49" w:name="_Toc9917"/>
            <w:bookmarkStart w:id="50" w:name="_Toc28539"/>
            <w:r>
              <w:rPr>
                <w:rFonts w:hint="eastAsia" w:ascii="宋体" w:hAnsi="宋体" w:cs="宋体"/>
                <w:b/>
                <w:bCs/>
                <w:kern w:val="0"/>
                <w:szCs w:val="21"/>
              </w:rPr>
              <w:t>主要教学内容</w:t>
            </w:r>
            <w:bookmarkEnd w:id="48"/>
            <w:bookmarkEnd w:id="49"/>
            <w:bookmarkEnd w:id="50"/>
          </w:p>
        </w:tc>
        <w:tc>
          <w:tcPr>
            <w:tcW w:w="3491" w:type="dxa"/>
            <w:vAlign w:val="center"/>
          </w:tcPr>
          <w:p>
            <w:pPr>
              <w:widowControl/>
              <w:spacing w:line="0" w:lineRule="atLeast"/>
              <w:jc w:val="center"/>
              <w:outlineLvl w:val="0"/>
              <w:rPr>
                <w:rFonts w:ascii="宋体" w:hAnsi="宋体" w:cs="宋体"/>
                <w:b/>
                <w:bCs/>
                <w:kern w:val="0"/>
                <w:szCs w:val="21"/>
              </w:rPr>
            </w:pPr>
            <w:bookmarkStart w:id="51" w:name="_Toc15106"/>
            <w:bookmarkStart w:id="52" w:name="_Toc30898"/>
            <w:bookmarkStart w:id="53" w:name="_Toc8196"/>
            <w:r>
              <w:rPr>
                <w:rFonts w:hint="eastAsia" w:ascii="宋体" w:hAnsi="宋体" w:cs="宋体"/>
                <w:b/>
                <w:bCs/>
                <w:kern w:val="0"/>
                <w:szCs w:val="21"/>
              </w:rPr>
              <w:t>教学要求</w:t>
            </w:r>
            <w:bookmarkEnd w:id="51"/>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ascii="宋体" w:hAnsi="宋体" w:cs="宋体"/>
                <w:kern w:val="0"/>
                <w:szCs w:val="21"/>
              </w:rPr>
            </w:pPr>
            <w:bookmarkStart w:id="54" w:name="_Toc32573"/>
            <w:bookmarkStart w:id="55" w:name="_Toc24296"/>
            <w:bookmarkStart w:id="56" w:name="_Toc7224"/>
            <w:r>
              <w:rPr>
                <w:rFonts w:ascii="宋体" w:hAnsi="宋体" w:cs="宋体"/>
                <w:kern w:val="0"/>
                <w:szCs w:val="21"/>
              </w:rPr>
              <w:t>1</w:t>
            </w:r>
            <w:bookmarkEnd w:id="54"/>
            <w:bookmarkEnd w:id="55"/>
            <w:bookmarkEnd w:id="56"/>
          </w:p>
        </w:tc>
        <w:tc>
          <w:tcPr>
            <w:tcW w:w="748" w:type="dxa"/>
            <w:vAlign w:val="center"/>
          </w:tcPr>
          <w:p>
            <w:pPr>
              <w:widowControl/>
              <w:spacing w:line="0" w:lineRule="atLeast"/>
              <w:jc w:val="both"/>
              <w:outlineLvl w:val="0"/>
              <w:rPr>
                <w:rFonts w:ascii="宋体" w:hAnsi="宋体"/>
                <w:color w:val="FF0000"/>
                <w:szCs w:val="21"/>
              </w:rPr>
            </w:pPr>
            <w:bookmarkStart w:id="57" w:name="_Toc30265"/>
            <w:bookmarkStart w:id="58" w:name="_Toc32636"/>
            <w:bookmarkStart w:id="59" w:name="_Toc17891"/>
            <w:r>
              <w:rPr>
                <w:rFonts w:hint="eastAsia" w:ascii="宋体" w:hAnsi="宋体"/>
                <w:szCs w:val="21"/>
              </w:rPr>
              <w:t>思想道德与法治</w:t>
            </w:r>
            <w:bookmarkEnd w:id="57"/>
            <w:bookmarkEnd w:id="58"/>
            <w:bookmarkEnd w:id="59"/>
          </w:p>
        </w:tc>
        <w:tc>
          <w:tcPr>
            <w:tcW w:w="406" w:type="dxa"/>
            <w:vAlign w:val="center"/>
          </w:tcPr>
          <w:p>
            <w:pPr>
              <w:widowControl/>
              <w:spacing w:line="0" w:lineRule="atLeast"/>
              <w:jc w:val="both"/>
              <w:outlineLvl w:val="0"/>
              <w:rPr>
                <w:rFonts w:ascii="宋体" w:hAnsi="宋体" w:cs="宋体"/>
                <w:kern w:val="0"/>
                <w:szCs w:val="21"/>
              </w:rPr>
            </w:pPr>
            <w:bookmarkStart w:id="60" w:name="_Toc22956"/>
            <w:bookmarkStart w:id="61" w:name="_Toc11723"/>
            <w:bookmarkStart w:id="62" w:name="_Toc22273"/>
            <w:r>
              <w:rPr>
                <w:rFonts w:hint="eastAsia" w:ascii="宋体" w:hAnsi="宋体" w:cs="宋体"/>
                <w:kern w:val="0"/>
                <w:szCs w:val="21"/>
              </w:rPr>
              <w:t>公共基础必修课</w:t>
            </w:r>
            <w:bookmarkEnd w:id="60"/>
            <w:bookmarkEnd w:id="61"/>
            <w:bookmarkEnd w:id="62"/>
          </w:p>
        </w:tc>
        <w:tc>
          <w:tcPr>
            <w:tcW w:w="3886" w:type="dxa"/>
            <w:vAlign w:val="center"/>
          </w:tcPr>
          <w:p>
            <w:pPr>
              <w:widowControl/>
              <w:spacing w:line="0" w:lineRule="atLeast"/>
              <w:jc w:val="both"/>
              <w:outlineLvl w:val="0"/>
              <w:rPr>
                <w:rFonts w:ascii="宋体" w:hAnsi="宋体" w:cs="宋体"/>
                <w:kern w:val="0"/>
                <w:szCs w:val="21"/>
              </w:rPr>
            </w:pPr>
            <w:bookmarkStart w:id="63" w:name="_Toc23506"/>
            <w:bookmarkStart w:id="64" w:name="_Toc5545"/>
            <w:bookmarkStart w:id="65" w:name="_Toc32375"/>
            <w:r>
              <w:rPr>
                <w:rFonts w:hint="eastAsia" w:ascii="宋体" w:hAnsi="宋体" w:cs="宋体"/>
                <w:kern w:val="0"/>
                <w:szCs w:val="21"/>
              </w:rPr>
              <w:t>课程的教学内容主要分为“人生观教育”、“价值观教育”、“道德观教育”及“法制观教育”四个模块，主要教育学生通过理论学习和实践体验，牢固树立坚定的理想信念和正确的价值观念</w:t>
            </w:r>
            <w:r>
              <w:rPr>
                <w:rFonts w:ascii="宋体" w:hAnsi="宋体" w:cs="宋体"/>
                <w:kern w:val="0"/>
                <w:szCs w:val="21"/>
              </w:rPr>
              <w:t>,</w:t>
            </w:r>
            <w:r>
              <w:rPr>
                <w:rFonts w:hint="eastAsia" w:ascii="宋体" w:hAnsi="宋体" w:cs="宋体"/>
                <w:kern w:val="0"/>
                <w:szCs w:val="21"/>
              </w:rPr>
              <w:t>陶冶高尚的道德情操，增强尊法学法守法用法的自觉性，不断提高自身的思想道德素质和法治素养。</w:t>
            </w:r>
            <w:bookmarkEnd w:id="63"/>
            <w:bookmarkEnd w:id="64"/>
            <w:bookmarkEnd w:id="65"/>
          </w:p>
        </w:tc>
        <w:tc>
          <w:tcPr>
            <w:tcW w:w="3491" w:type="dxa"/>
            <w:vAlign w:val="center"/>
          </w:tcPr>
          <w:p>
            <w:pPr>
              <w:widowControl/>
              <w:spacing w:line="0" w:lineRule="atLeast"/>
              <w:jc w:val="both"/>
              <w:outlineLvl w:val="0"/>
              <w:rPr>
                <w:rFonts w:ascii="宋体" w:hAnsi="宋体" w:cs="宋体"/>
                <w:kern w:val="0"/>
                <w:szCs w:val="21"/>
              </w:rPr>
            </w:pPr>
            <w:bookmarkStart w:id="66" w:name="_Toc32465"/>
            <w:bookmarkStart w:id="67" w:name="_Toc23771"/>
            <w:bookmarkStart w:id="68" w:name="_Toc10257"/>
            <w:r>
              <w:rPr>
                <w:rFonts w:hint="eastAsia" w:ascii="宋体" w:hAnsi="宋体" w:cs="宋体"/>
                <w:kern w:val="0"/>
                <w:szCs w:val="21"/>
              </w:rPr>
              <w:t>紧紧抓住本课程严谨理论性、鲜明实践性、具体针对性的特点，按照新时代对高职学生应具备的道德和法律素质的要求，着眼于学生职业素质的提高，确立以“厚德尚能”为目标，以“三个结合”为理念，注重理论与实际相结合、感性认识和理性分析相结合的原则，着力培养学生职业素质和能力，实现高职思想政治理论课从“知性教育”向“知行合一”的行动教学转变，配合专业教育，服务学生未来的职业生涯发展。</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ascii="宋体" w:hAnsi="宋体" w:cs="宋体"/>
                <w:kern w:val="0"/>
                <w:szCs w:val="21"/>
              </w:rPr>
            </w:pPr>
            <w:bookmarkStart w:id="69" w:name="_Toc19628"/>
            <w:bookmarkStart w:id="70" w:name="_Toc17747"/>
            <w:bookmarkStart w:id="71" w:name="_Toc31232"/>
            <w:r>
              <w:rPr>
                <w:rFonts w:ascii="宋体" w:hAnsi="宋体" w:cs="宋体"/>
                <w:kern w:val="0"/>
                <w:szCs w:val="21"/>
              </w:rPr>
              <w:t>2</w:t>
            </w:r>
            <w:bookmarkEnd w:id="69"/>
            <w:bookmarkEnd w:id="70"/>
            <w:bookmarkEnd w:id="71"/>
          </w:p>
        </w:tc>
        <w:tc>
          <w:tcPr>
            <w:tcW w:w="748" w:type="dxa"/>
            <w:vAlign w:val="center"/>
          </w:tcPr>
          <w:p>
            <w:pPr>
              <w:widowControl/>
              <w:spacing w:line="0" w:lineRule="atLeast"/>
              <w:jc w:val="both"/>
              <w:outlineLvl w:val="0"/>
              <w:rPr>
                <w:rFonts w:hint="eastAsia" w:ascii="宋体" w:hAnsi="宋体" w:cs="宋体"/>
                <w:kern w:val="0"/>
                <w:szCs w:val="21"/>
              </w:rPr>
            </w:pPr>
            <w:bookmarkStart w:id="72" w:name="_Toc25863"/>
            <w:bookmarkStart w:id="73" w:name="_Toc25205"/>
            <w:bookmarkStart w:id="74" w:name="_Toc19438"/>
            <w:r>
              <w:rPr>
                <w:rFonts w:hint="eastAsia" w:ascii="宋体" w:hAnsi="宋体" w:cs="宋体"/>
                <w:kern w:val="0"/>
                <w:szCs w:val="21"/>
              </w:rPr>
              <w:t>毛泽东思想和中国特色社会主义理论体系概论</w:t>
            </w:r>
            <w:bookmarkEnd w:id="72"/>
            <w:bookmarkEnd w:id="73"/>
            <w:bookmarkEnd w:id="74"/>
          </w:p>
        </w:tc>
        <w:tc>
          <w:tcPr>
            <w:tcW w:w="406" w:type="dxa"/>
            <w:vAlign w:val="center"/>
          </w:tcPr>
          <w:p>
            <w:pPr>
              <w:widowControl/>
              <w:spacing w:line="0" w:lineRule="atLeast"/>
              <w:jc w:val="both"/>
              <w:outlineLvl w:val="0"/>
              <w:rPr>
                <w:rFonts w:hint="eastAsia" w:ascii="宋体" w:hAnsi="宋体" w:cs="宋体"/>
                <w:kern w:val="0"/>
                <w:szCs w:val="21"/>
              </w:rPr>
            </w:pPr>
            <w:bookmarkStart w:id="75" w:name="_Toc25316"/>
            <w:bookmarkStart w:id="76" w:name="_Toc5471"/>
            <w:bookmarkStart w:id="77" w:name="_Toc8995"/>
            <w:r>
              <w:rPr>
                <w:rFonts w:hint="eastAsia" w:ascii="宋体" w:hAnsi="宋体" w:cs="宋体"/>
                <w:kern w:val="0"/>
                <w:szCs w:val="21"/>
              </w:rPr>
              <w:t>公共基础必修课</w:t>
            </w:r>
            <w:bookmarkEnd w:id="75"/>
            <w:bookmarkEnd w:id="76"/>
            <w:bookmarkEnd w:id="77"/>
          </w:p>
        </w:tc>
        <w:tc>
          <w:tcPr>
            <w:tcW w:w="3886" w:type="dxa"/>
            <w:vAlign w:val="center"/>
          </w:tcPr>
          <w:p>
            <w:pPr>
              <w:widowControl/>
              <w:spacing w:line="0" w:lineRule="atLeast"/>
              <w:jc w:val="both"/>
              <w:outlineLvl w:val="0"/>
              <w:rPr>
                <w:rFonts w:hint="eastAsia" w:ascii="宋体" w:hAnsi="宋体" w:cs="宋体"/>
                <w:kern w:val="0"/>
                <w:szCs w:val="21"/>
              </w:rPr>
            </w:pPr>
            <w:bookmarkStart w:id="78" w:name="_Toc28276"/>
            <w:bookmarkStart w:id="79" w:name="_Toc29665"/>
            <w:bookmarkStart w:id="80" w:name="_Toc2553"/>
            <w:r>
              <w:rPr>
                <w:rFonts w:hint="eastAsia" w:ascii="宋体" w:hAnsi="宋体" w:cs="宋体"/>
                <w:kern w:val="0"/>
                <w:szCs w:val="21"/>
              </w:rPr>
              <w:t>本课程是以中国化的马克思主义为主题，以马克思主义中国化为主线，以中国特色社会主义为重点，着重讲授中国共产党将马克思主义基本原理与中国实际相结合的历史进程，以及马克思主义中国化的重大理论成果，包括毛泽东思想、邓小平理论、“三个代表”重要思想、科学发展观等相关内容，阐述中国共产党在将马克思主义与中国实际相结合的历史进程中，探索适合中国国情的新民主主义革命道路、社会主义建设和改革的道路，以及中国共产党在各个历史时期形成的基本理论、基本路线和基本方略。</w:t>
            </w:r>
            <w:bookmarkEnd w:id="78"/>
            <w:bookmarkEnd w:id="79"/>
            <w:bookmarkEnd w:id="80"/>
          </w:p>
        </w:tc>
        <w:tc>
          <w:tcPr>
            <w:tcW w:w="3491" w:type="dxa"/>
            <w:vAlign w:val="center"/>
          </w:tcPr>
          <w:p>
            <w:pPr>
              <w:widowControl/>
              <w:spacing w:line="0" w:lineRule="atLeast"/>
              <w:jc w:val="both"/>
              <w:outlineLvl w:val="0"/>
              <w:rPr>
                <w:rFonts w:hint="eastAsia" w:ascii="宋体" w:hAnsi="宋体" w:cs="宋体"/>
                <w:kern w:val="0"/>
                <w:szCs w:val="21"/>
              </w:rPr>
            </w:pPr>
            <w:bookmarkStart w:id="81" w:name="_Toc28285"/>
            <w:bookmarkStart w:id="82" w:name="_Toc28682"/>
            <w:bookmarkStart w:id="83" w:name="_Toc21959"/>
            <w:r>
              <w:rPr>
                <w:rFonts w:hint="eastAsia" w:ascii="宋体" w:hAnsi="宋体" w:cs="宋体"/>
                <w:kern w:val="0"/>
                <w:szCs w:val="21"/>
              </w:rPr>
              <w:t>教学过程中要求对学生进行系统的马克思主义中国化理论教育，帮助学生系统掌握毛泽东思想、邓小平理论、“三个代表”重要思想、科学发展观的基本原理，正确认识我国新民主主义革命时期的国情、主要矛盾，社会主义初级阶段的基本国情和党的路线方针政策，正确认识和分析中国特色社会主义建设过程中出现的各种问题，从而培养学生运用马克思主义基本原理分析和解决实际问题的能力，坚定在党的领导下走中国特色社会主义道路的理想信念，增强投身到我国社会主义现代化建设的自觉性、主动性和创造性。</w:t>
            </w:r>
            <w:bookmarkEnd w:id="81"/>
            <w:bookmarkEnd w:id="82"/>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Cs w:val="21"/>
                <w:lang w:val="en-US" w:eastAsia="zh-CN"/>
              </w:rPr>
            </w:pPr>
            <w:bookmarkStart w:id="84" w:name="_Toc12192"/>
            <w:bookmarkStart w:id="85" w:name="_Toc31797"/>
            <w:bookmarkStart w:id="86" w:name="_Toc24670"/>
            <w:r>
              <w:rPr>
                <w:rFonts w:hint="eastAsia" w:ascii="宋体" w:hAnsi="宋体" w:cs="宋体"/>
                <w:kern w:val="0"/>
                <w:szCs w:val="21"/>
                <w:lang w:val="en-US" w:eastAsia="zh-CN"/>
              </w:rPr>
              <w:t>3</w:t>
            </w:r>
            <w:bookmarkEnd w:id="84"/>
            <w:bookmarkEnd w:id="85"/>
            <w:bookmarkEnd w:id="86"/>
          </w:p>
        </w:tc>
        <w:tc>
          <w:tcPr>
            <w:tcW w:w="748" w:type="dxa"/>
            <w:vAlign w:val="center"/>
          </w:tcPr>
          <w:p>
            <w:pPr>
              <w:widowControl/>
              <w:spacing w:line="0" w:lineRule="atLeast"/>
              <w:jc w:val="both"/>
              <w:outlineLvl w:val="0"/>
              <w:rPr>
                <w:rFonts w:hint="eastAsia" w:ascii="宋体" w:hAnsi="宋体" w:cs="宋体"/>
                <w:kern w:val="0"/>
                <w:szCs w:val="21"/>
              </w:rPr>
            </w:pPr>
            <w:bookmarkStart w:id="87" w:name="_Toc27697"/>
            <w:bookmarkStart w:id="88" w:name="_Toc16050"/>
            <w:bookmarkStart w:id="89" w:name="_Toc27072"/>
            <w:r>
              <w:rPr>
                <w:rFonts w:hint="eastAsia" w:ascii="宋体" w:hAnsi="宋体" w:cs="宋体"/>
                <w:kern w:val="0"/>
                <w:szCs w:val="21"/>
                <w:lang w:val="en-US" w:eastAsia="zh-CN"/>
              </w:rPr>
              <w:t>习近平新时代中国特色社会主义思想概论</w:t>
            </w:r>
            <w:bookmarkEnd w:id="87"/>
            <w:bookmarkEnd w:id="88"/>
            <w:bookmarkEnd w:id="89"/>
          </w:p>
        </w:tc>
        <w:tc>
          <w:tcPr>
            <w:tcW w:w="406" w:type="dxa"/>
            <w:vAlign w:val="center"/>
          </w:tcPr>
          <w:p>
            <w:pPr>
              <w:widowControl/>
              <w:spacing w:line="0" w:lineRule="atLeast"/>
              <w:jc w:val="both"/>
              <w:outlineLvl w:val="0"/>
              <w:rPr>
                <w:rFonts w:hint="eastAsia" w:ascii="宋体" w:hAnsi="宋体" w:cs="宋体"/>
                <w:kern w:val="0"/>
                <w:szCs w:val="21"/>
              </w:rPr>
            </w:pPr>
            <w:bookmarkStart w:id="90" w:name="_Toc11139"/>
            <w:bookmarkStart w:id="91" w:name="_Toc18286"/>
            <w:bookmarkStart w:id="92" w:name="_Toc14486"/>
            <w:r>
              <w:rPr>
                <w:rFonts w:hint="eastAsia" w:ascii="宋体" w:hAnsi="宋体" w:cs="宋体"/>
                <w:kern w:val="0"/>
                <w:szCs w:val="21"/>
              </w:rPr>
              <w:t>公共基础必修课</w:t>
            </w:r>
            <w:bookmarkEnd w:id="90"/>
            <w:bookmarkEnd w:id="91"/>
            <w:bookmarkEnd w:id="92"/>
          </w:p>
        </w:tc>
        <w:tc>
          <w:tcPr>
            <w:tcW w:w="3886" w:type="dxa"/>
            <w:vAlign w:val="center"/>
          </w:tcPr>
          <w:p>
            <w:pPr>
              <w:widowControl/>
              <w:spacing w:line="0" w:lineRule="atLeast"/>
              <w:jc w:val="both"/>
              <w:outlineLvl w:val="0"/>
              <w:rPr>
                <w:rFonts w:hint="eastAsia" w:ascii="宋体" w:hAnsi="宋体" w:cs="宋体"/>
                <w:kern w:val="0"/>
                <w:szCs w:val="21"/>
              </w:rPr>
            </w:pPr>
            <w:bookmarkStart w:id="93" w:name="_Toc28586"/>
            <w:bookmarkStart w:id="94" w:name="_Toc27924"/>
            <w:bookmarkStart w:id="95" w:name="_Toc6098"/>
            <w:r>
              <w:rPr>
                <w:rFonts w:hint="eastAsia" w:ascii="宋体" w:hAnsi="宋体" w:cs="宋体"/>
                <w:kern w:val="0"/>
                <w:szCs w:val="21"/>
              </w:rPr>
              <w:t>课程教学内容紧紧围绕习近平新时代中国特色社会主义思想是党和国家必须长期坚持的指导思想这一主题，以“十个明确”和“十四个坚持”为核心内容和主要依据，对习近平新时代中国特色社会主义思想进行全面系统的阐述，以及习近平新时代中国特色社会主义思想的基本精神、基本内容、基本要求，具体包括中国特色社会主义最本质的特征、坚持和发展中国特色社会主义的总任务、新时代我国社会主要矛盾、中国特色社会主义事业总体布局和战略布局、新时代强军目标、中国特色大国外交、全面从严治党的战略方针等重要内容。</w:t>
            </w:r>
            <w:bookmarkEnd w:id="93"/>
            <w:bookmarkEnd w:id="94"/>
            <w:bookmarkEnd w:id="95"/>
          </w:p>
        </w:tc>
        <w:tc>
          <w:tcPr>
            <w:tcW w:w="3491" w:type="dxa"/>
            <w:vAlign w:val="center"/>
          </w:tcPr>
          <w:p>
            <w:pPr>
              <w:widowControl/>
              <w:spacing w:line="0" w:lineRule="atLeast"/>
              <w:jc w:val="both"/>
              <w:outlineLvl w:val="0"/>
              <w:rPr>
                <w:rFonts w:hint="eastAsia" w:ascii="宋体" w:hAnsi="宋体" w:cs="宋体"/>
                <w:kern w:val="0"/>
                <w:szCs w:val="21"/>
              </w:rPr>
            </w:pPr>
            <w:bookmarkStart w:id="96" w:name="_Toc14672"/>
            <w:bookmarkStart w:id="97" w:name="_Toc27454"/>
            <w:bookmarkStart w:id="98" w:name="_Toc12501"/>
            <w:r>
              <w:rPr>
                <w:rFonts w:hint="eastAsia" w:ascii="宋体" w:hAnsi="宋体" w:cs="宋体"/>
                <w:kern w:val="0"/>
                <w:szCs w:val="21"/>
              </w:rPr>
              <w:t>要求向学生讲透习近平新时代中国特色社会主义思想的核心要义、精神实质、丰富内涵、实践要求，使学生掌握马克思主义中国化最新成果，全面理解习近平新时代中国特色社会主义思想的历史地位、主要内容和战略部署。课程讲授中要求运用多样化教学方法，采用丰富的案例，结合我国各领域发展最新成就，使学生更好领悟习近平新时代中国特色社会主义思想对实现中华民族伟大复兴的重大指导意义。通过课程教学增强大学生的“四个意识”，坚定“四个自信”，做到“两个维护”，拥护“两个确立”。</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99" w:name="_Toc1214"/>
            <w:bookmarkStart w:id="100" w:name="_Toc22365"/>
            <w:bookmarkStart w:id="101" w:name="_Toc13271"/>
            <w:r>
              <w:rPr>
                <w:rFonts w:hint="eastAsia" w:ascii="宋体" w:hAnsi="宋体" w:cs="宋体"/>
                <w:kern w:val="0"/>
                <w:szCs w:val="21"/>
                <w:lang w:val="en-US" w:eastAsia="zh-CN"/>
              </w:rPr>
              <w:t>4</w:t>
            </w:r>
            <w:bookmarkEnd w:id="99"/>
            <w:bookmarkEnd w:id="100"/>
            <w:bookmarkEnd w:id="101"/>
          </w:p>
        </w:tc>
        <w:tc>
          <w:tcPr>
            <w:tcW w:w="748" w:type="dxa"/>
            <w:vAlign w:val="center"/>
          </w:tcPr>
          <w:p>
            <w:pPr>
              <w:jc w:val="both"/>
              <w:rPr>
                <w:rFonts w:hint="eastAsia" w:ascii="宋体" w:hAnsi="宋体"/>
                <w:color w:val="0000FF"/>
                <w:szCs w:val="21"/>
                <w:lang w:val="en-US" w:eastAsia="zh-CN"/>
              </w:rPr>
            </w:pPr>
            <w:r>
              <w:rPr>
                <w:rFonts w:hint="eastAsia" w:ascii="宋体" w:hAnsi="宋体" w:eastAsia="宋体"/>
              </w:rPr>
              <w:t>四史教育</w:t>
            </w:r>
          </w:p>
        </w:tc>
        <w:tc>
          <w:tcPr>
            <w:tcW w:w="406" w:type="dxa"/>
            <w:vAlign w:val="center"/>
          </w:tcPr>
          <w:p>
            <w:pPr>
              <w:jc w:val="both"/>
              <w:rPr>
                <w:rFonts w:hint="eastAsia" w:ascii="宋体" w:hAnsi="宋体" w:cs="宋体"/>
                <w:color w:val="0000FF"/>
                <w:kern w:val="0"/>
                <w:szCs w:val="21"/>
              </w:rPr>
            </w:pPr>
            <w:r>
              <w:rPr>
                <w:rFonts w:hint="eastAsia" w:ascii="宋体" w:hAnsi="宋体" w:eastAsia="宋体"/>
              </w:rPr>
              <w:t>公共基础课</w:t>
            </w:r>
          </w:p>
        </w:tc>
        <w:tc>
          <w:tcPr>
            <w:tcW w:w="3886" w:type="dxa"/>
            <w:vAlign w:val="center"/>
          </w:tcPr>
          <w:p>
            <w:pPr>
              <w:jc w:val="both"/>
              <w:rPr>
                <w:rFonts w:hint="eastAsia" w:ascii="宋体" w:hAnsi="宋体" w:eastAsia="宋体" w:cs="Helvetica"/>
                <w:color w:val="0000FF"/>
                <w:szCs w:val="21"/>
                <w:shd w:val="clear" w:color="auto" w:fill="FFFFFF"/>
              </w:rPr>
            </w:pPr>
            <w:r>
              <w:rPr>
                <w:rFonts w:hint="eastAsia" w:ascii="宋体" w:hAnsi="宋体" w:eastAsia="宋体"/>
              </w:rPr>
              <w:t>“四史”指的是中共党史、新中国史、改革开放史和社会主义发展史；整体讲的就是中国共产党为人民谋幸福、为民族谋复兴、为世界谋大同的实践史。党史教育主要向学生介绍中国共产党的百年实践，以及所取得的历史经验；新中国史主要向学生讲授中国共产党推进建设新中国的历史，带领人民实现了中华民族从站起来、富起来到强起来的伟大历史飞跃；改革开放史主要向学生介绍党的十一届三中全会以后，党中央做出实行改革开放的历史性决策，不断推进我国各项事业的健康发展；社会主义发展史主要向学生讲述社会主义经历了从空想到科学，从理论到现实，从一国到多国的发展过程。</w:t>
            </w:r>
          </w:p>
        </w:tc>
        <w:tc>
          <w:tcPr>
            <w:tcW w:w="3491" w:type="dxa"/>
            <w:vAlign w:val="center"/>
          </w:tcPr>
          <w:p>
            <w:pPr>
              <w:jc w:val="both"/>
              <w:rPr>
                <w:rFonts w:hint="eastAsia" w:ascii="宋体" w:hAnsi="宋体" w:eastAsia="宋体" w:cs="Helvetica"/>
                <w:color w:val="0000FF"/>
                <w:szCs w:val="21"/>
                <w:shd w:val="clear" w:color="auto" w:fill="FFFFFF"/>
              </w:rPr>
            </w:pPr>
            <w:r>
              <w:rPr>
                <w:rFonts w:hint="eastAsia" w:ascii="宋体" w:hAnsi="宋体" w:eastAsia="宋体"/>
              </w:rPr>
              <w:t>教学过程中始终围绕中国共产党的领导是“四史”主线这一原则，通过教学使学生懂得中国共产党是以马克思主义为指导的先进政党，实现中华民族伟大复兴，必须坚持和加强党的领导，中国共产党必须勇于自我革命，推进党的政治、思想、组织、作风、纪律和制度建设，成为中华民族伟大复兴当之无愧的最高政治领导力量。使学生懂得，中国特色社会主义不仅属于中国，而且属于整个世界，中国特色社会主义为世界社会主义运动带来新活力，为当今世界各国的发展提供了参考与借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102" w:name="_Toc10566"/>
            <w:bookmarkStart w:id="103" w:name="_Toc862"/>
            <w:bookmarkStart w:id="104" w:name="_Toc10784"/>
            <w:r>
              <w:rPr>
                <w:rFonts w:hint="eastAsia" w:ascii="宋体" w:hAnsi="宋体" w:cs="宋体"/>
                <w:kern w:val="0"/>
                <w:szCs w:val="21"/>
                <w:lang w:val="en-US" w:eastAsia="zh-CN"/>
              </w:rPr>
              <w:t>5</w:t>
            </w:r>
            <w:bookmarkEnd w:id="102"/>
            <w:bookmarkEnd w:id="103"/>
            <w:bookmarkEnd w:id="104"/>
          </w:p>
        </w:tc>
        <w:tc>
          <w:tcPr>
            <w:tcW w:w="748" w:type="dxa"/>
            <w:vAlign w:val="center"/>
          </w:tcPr>
          <w:p>
            <w:pPr>
              <w:widowControl/>
              <w:spacing w:line="0" w:lineRule="atLeast"/>
              <w:jc w:val="both"/>
              <w:outlineLvl w:val="0"/>
              <w:rPr>
                <w:rFonts w:ascii="宋体" w:hAnsi="宋体" w:cs="宋体"/>
                <w:kern w:val="0"/>
                <w:szCs w:val="21"/>
              </w:rPr>
            </w:pPr>
            <w:bookmarkStart w:id="105" w:name="_Toc26471"/>
            <w:bookmarkStart w:id="106" w:name="_Toc432"/>
            <w:bookmarkStart w:id="107" w:name="_Toc19724"/>
            <w:r>
              <w:rPr>
                <w:rFonts w:hint="eastAsia" w:ascii="宋体" w:hAnsi="宋体"/>
                <w:szCs w:val="21"/>
              </w:rPr>
              <w:t>体育（Ⅰ）</w:t>
            </w:r>
            <w:bookmarkEnd w:id="105"/>
            <w:bookmarkEnd w:id="106"/>
            <w:bookmarkEnd w:id="107"/>
          </w:p>
        </w:tc>
        <w:tc>
          <w:tcPr>
            <w:tcW w:w="406" w:type="dxa"/>
            <w:vAlign w:val="center"/>
          </w:tcPr>
          <w:p>
            <w:pPr>
              <w:widowControl/>
              <w:spacing w:line="0" w:lineRule="atLeast"/>
              <w:jc w:val="both"/>
              <w:outlineLvl w:val="0"/>
              <w:rPr>
                <w:rFonts w:ascii="宋体" w:hAnsi="宋体" w:cs="宋体"/>
                <w:kern w:val="0"/>
                <w:szCs w:val="21"/>
              </w:rPr>
            </w:pPr>
            <w:bookmarkStart w:id="108" w:name="_Toc10568"/>
            <w:bookmarkStart w:id="109" w:name="_Toc17770"/>
            <w:bookmarkStart w:id="110" w:name="_Toc2015"/>
            <w:r>
              <w:rPr>
                <w:rFonts w:hint="eastAsia" w:ascii="宋体" w:hAnsi="宋体" w:cs="宋体"/>
                <w:kern w:val="0"/>
                <w:szCs w:val="21"/>
              </w:rPr>
              <w:t>公共基础必修课</w:t>
            </w:r>
            <w:bookmarkEnd w:id="108"/>
            <w:bookmarkEnd w:id="109"/>
            <w:bookmarkEnd w:id="110"/>
          </w:p>
        </w:tc>
        <w:tc>
          <w:tcPr>
            <w:tcW w:w="3886" w:type="dxa"/>
            <w:vAlign w:val="center"/>
          </w:tcPr>
          <w:p>
            <w:pPr>
              <w:widowControl/>
              <w:spacing w:line="0" w:lineRule="atLeast"/>
              <w:jc w:val="both"/>
              <w:outlineLvl w:val="0"/>
              <w:rPr>
                <w:rFonts w:ascii="宋体" w:hAnsi="宋体" w:cs="宋体"/>
                <w:kern w:val="0"/>
                <w:szCs w:val="21"/>
              </w:rPr>
            </w:pPr>
            <w:bookmarkStart w:id="111" w:name="_Toc12422"/>
            <w:bookmarkStart w:id="112" w:name="_Toc11550"/>
            <w:bookmarkStart w:id="113" w:name="_Toc3539"/>
            <w:r>
              <w:rPr>
                <w:rFonts w:hint="eastAsia" w:ascii="宋体" w:hAnsi="宋体" w:cs="宋体"/>
                <w:kern w:val="0"/>
                <w:szCs w:val="21"/>
              </w:rPr>
              <w:t>本课程为体育基础综合课，以学生身体素质锻炼为主，增强体质。</w:t>
            </w:r>
            <w:bookmarkEnd w:id="111"/>
            <w:bookmarkEnd w:id="112"/>
            <w:bookmarkEnd w:id="113"/>
          </w:p>
        </w:tc>
        <w:tc>
          <w:tcPr>
            <w:tcW w:w="3491" w:type="dxa"/>
            <w:vAlign w:val="center"/>
          </w:tcPr>
          <w:p>
            <w:pPr>
              <w:widowControl/>
              <w:spacing w:line="0" w:lineRule="atLeast"/>
              <w:jc w:val="both"/>
              <w:outlineLvl w:val="0"/>
              <w:rPr>
                <w:rFonts w:ascii="宋体" w:hAnsi="宋体" w:cs="宋体"/>
                <w:kern w:val="0"/>
                <w:szCs w:val="21"/>
              </w:rPr>
            </w:pPr>
            <w:bookmarkStart w:id="114" w:name="_Toc12055"/>
            <w:bookmarkStart w:id="115" w:name="_Toc20617"/>
            <w:bookmarkStart w:id="116" w:name="_Toc13600"/>
            <w:r>
              <w:rPr>
                <w:rFonts w:hint="eastAsia" w:ascii="宋体" w:hAnsi="宋体" w:cs="宋体"/>
                <w:kern w:val="0"/>
                <w:szCs w:val="21"/>
              </w:rPr>
              <w:t>教学过程中结合大学生体质健康测试项目，提高学生速度、耐力、柔韧、力量等身体素质。培养终身体育习惯</w:t>
            </w:r>
            <w:bookmarkEnd w:id="114"/>
            <w:bookmarkEnd w:id="115"/>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117" w:name="_Toc17845"/>
            <w:bookmarkStart w:id="118" w:name="_Toc15651"/>
            <w:bookmarkStart w:id="119" w:name="_Toc15976"/>
            <w:r>
              <w:rPr>
                <w:rFonts w:hint="eastAsia" w:ascii="宋体" w:hAnsi="宋体" w:cs="宋体"/>
                <w:kern w:val="0"/>
                <w:szCs w:val="21"/>
                <w:lang w:val="en-US" w:eastAsia="zh-CN"/>
              </w:rPr>
              <w:t>6</w:t>
            </w:r>
            <w:bookmarkEnd w:id="117"/>
            <w:bookmarkEnd w:id="118"/>
            <w:bookmarkEnd w:id="119"/>
          </w:p>
        </w:tc>
        <w:tc>
          <w:tcPr>
            <w:tcW w:w="748" w:type="dxa"/>
            <w:vAlign w:val="center"/>
          </w:tcPr>
          <w:p>
            <w:pPr>
              <w:widowControl/>
              <w:spacing w:line="0" w:lineRule="atLeast"/>
              <w:jc w:val="both"/>
              <w:outlineLvl w:val="0"/>
              <w:rPr>
                <w:rFonts w:ascii="宋体" w:hAnsi="宋体" w:cs="宋体"/>
                <w:kern w:val="0"/>
                <w:szCs w:val="21"/>
              </w:rPr>
            </w:pPr>
            <w:bookmarkStart w:id="120" w:name="_Toc7510"/>
            <w:bookmarkStart w:id="121" w:name="_Toc32628"/>
            <w:bookmarkStart w:id="122" w:name="_Toc25843"/>
            <w:r>
              <w:rPr>
                <w:rFonts w:hint="eastAsia" w:ascii="宋体" w:hAnsi="宋体"/>
                <w:szCs w:val="21"/>
              </w:rPr>
              <w:t>体育（Ⅱ）</w:t>
            </w:r>
            <w:bookmarkEnd w:id="120"/>
            <w:bookmarkEnd w:id="121"/>
            <w:bookmarkEnd w:id="122"/>
          </w:p>
        </w:tc>
        <w:tc>
          <w:tcPr>
            <w:tcW w:w="406" w:type="dxa"/>
            <w:vAlign w:val="center"/>
          </w:tcPr>
          <w:p>
            <w:pPr>
              <w:widowControl/>
              <w:spacing w:line="0" w:lineRule="atLeast"/>
              <w:jc w:val="both"/>
              <w:outlineLvl w:val="0"/>
              <w:rPr>
                <w:rFonts w:ascii="宋体" w:hAnsi="宋体" w:cs="宋体"/>
                <w:kern w:val="0"/>
                <w:szCs w:val="21"/>
              </w:rPr>
            </w:pPr>
            <w:bookmarkStart w:id="123" w:name="_Toc3252"/>
            <w:bookmarkStart w:id="124" w:name="_Toc14872"/>
            <w:bookmarkStart w:id="125" w:name="_Toc10843"/>
            <w:r>
              <w:rPr>
                <w:rFonts w:hint="eastAsia" w:ascii="宋体" w:hAnsi="宋体" w:cs="宋体"/>
                <w:kern w:val="0"/>
                <w:szCs w:val="21"/>
              </w:rPr>
              <w:t>公共基础必修课</w:t>
            </w:r>
            <w:bookmarkEnd w:id="123"/>
            <w:bookmarkEnd w:id="124"/>
            <w:bookmarkEnd w:id="125"/>
          </w:p>
        </w:tc>
        <w:tc>
          <w:tcPr>
            <w:tcW w:w="3886" w:type="dxa"/>
            <w:vAlign w:val="center"/>
          </w:tcPr>
          <w:p>
            <w:pPr>
              <w:widowControl/>
              <w:spacing w:line="0" w:lineRule="atLeast"/>
              <w:jc w:val="both"/>
              <w:outlineLvl w:val="0"/>
              <w:rPr>
                <w:rFonts w:ascii="宋体" w:hAnsi="宋体" w:cs="宋体"/>
                <w:kern w:val="0"/>
                <w:szCs w:val="21"/>
              </w:rPr>
            </w:pPr>
            <w:bookmarkStart w:id="126" w:name="_Toc16839"/>
            <w:bookmarkStart w:id="127" w:name="_Toc30616"/>
            <w:bookmarkStart w:id="128" w:name="_Toc28280"/>
            <w:r>
              <w:rPr>
                <w:rFonts w:hint="eastAsia" w:ascii="宋体" w:hAnsi="宋体" w:cs="宋体"/>
                <w:kern w:val="0"/>
                <w:szCs w:val="21"/>
              </w:rPr>
              <w:t>本课程为体育选项教学，主要有篮球、排球、足球、气排球、乒乓球、羽毛球、体育舞蹈、健美操、武术散打、形体训练等项目供学生选课，教学内容主要是各项目的基本技术与战术，以及基本竞赛规则。</w:t>
            </w:r>
            <w:bookmarkEnd w:id="126"/>
            <w:bookmarkEnd w:id="127"/>
            <w:bookmarkEnd w:id="128"/>
          </w:p>
        </w:tc>
        <w:tc>
          <w:tcPr>
            <w:tcW w:w="3491" w:type="dxa"/>
            <w:vAlign w:val="center"/>
          </w:tcPr>
          <w:p>
            <w:pPr>
              <w:widowControl/>
              <w:spacing w:line="0" w:lineRule="atLeast"/>
              <w:jc w:val="both"/>
              <w:outlineLvl w:val="0"/>
              <w:rPr>
                <w:rFonts w:ascii="宋体" w:hAnsi="宋体" w:cs="宋体"/>
                <w:kern w:val="0"/>
                <w:szCs w:val="21"/>
              </w:rPr>
            </w:pPr>
            <w:bookmarkStart w:id="129" w:name="_Toc10038"/>
            <w:bookmarkStart w:id="130" w:name="_Toc24644"/>
            <w:bookmarkStart w:id="131" w:name="_Toc26323"/>
            <w:r>
              <w:rPr>
                <w:rFonts w:hint="eastAsia" w:ascii="宋体" w:hAnsi="宋体" w:cs="宋体"/>
                <w:kern w:val="0"/>
                <w:szCs w:val="21"/>
              </w:rPr>
              <w:t>学生根据自身兴趣爱好，任选一运动项目进行一学期的学习，学期目标掌握该运动项目的基本技术，能顺利通过该项目的素质和技能考核。培养终身体育习惯</w:t>
            </w:r>
            <w:bookmarkEnd w:id="129"/>
            <w:bookmarkEnd w:id="130"/>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132" w:name="_Toc32356"/>
            <w:bookmarkStart w:id="133" w:name="_Toc18023"/>
            <w:bookmarkStart w:id="134" w:name="_Toc27293"/>
            <w:r>
              <w:rPr>
                <w:rFonts w:hint="eastAsia" w:ascii="宋体" w:hAnsi="宋体" w:cs="宋体"/>
                <w:kern w:val="0"/>
                <w:szCs w:val="21"/>
                <w:lang w:val="en-US" w:eastAsia="zh-CN"/>
              </w:rPr>
              <w:t>7</w:t>
            </w:r>
            <w:bookmarkEnd w:id="132"/>
            <w:bookmarkEnd w:id="133"/>
            <w:bookmarkEnd w:id="134"/>
          </w:p>
        </w:tc>
        <w:tc>
          <w:tcPr>
            <w:tcW w:w="748" w:type="dxa"/>
            <w:vAlign w:val="center"/>
          </w:tcPr>
          <w:p>
            <w:pPr>
              <w:widowControl/>
              <w:spacing w:line="0" w:lineRule="atLeast"/>
              <w:jc w:val="both"/>
              <w:outlineLvl w:val="0"/>
              <w:rPr>
                <w:rFonts w:ascii="宋体" w:hAnsi="宋体" w:cs="宋体"/>
                <w:kern w:val="0"/>
                <w:szCs w:val="21"/>
              </w:rPr>
            </w:pPr>
            <w:bookmarkStart w:id="135" w:name="_Toc25110"/>
            <w:bookmarkStart w:id="136" w:name="_Toc26742"/>
            <w:bookmarkStart w:id="137" w:name="_Toc10207"/>
            <w:r>
              <w:rPr>
                <w:rFonts w:hint="eastAsia" w:ascii="宋体" w:hAnsi="宋体"/>
                <w:szCs w:val="21"/>
              </w:rPr>
              <w:t>体育（Ⅲ）</w:t>
            </w:r>
            <w:bookmarkEnd w:id="135"/>
            <w:bookmarkEnd w:id="136"/>
            <w:bookmarkEnd w:id="137"/>
          </w:p>
        </w:tc>
        <w:tc>
          <w:tcPr>
            <w:tcW w:w="406" w:type="dxa"/>
            <w:vAlign w:val="center"/>
          </w:tcPr>
          <w:p>
            <w:pPr>
              <w:widowControl/>
              <w:spacing w:line="0" w:lineRule="atLeast"/>
              <w:jc w:val="both"/>
              <w:outlineLvl w:val="0"/>
              <w:rPr>
                <w:rFonts w:ascii="宋体" w:hAnsi="宋体" w:cs="宋体"/>
                <w:kern w:val="0"/>
                <w:szCs w:val="21"/>
              </w:rPr>
            </w:pPr>
            <w:bookmarkStart w:id="138" w:name="_Toc15421"/>
            <w:bookmarkStart w:id="139" w:name="_Toc9751"/>
            <w:bookmarkStart w:id="140" w:name="_Toc10404"/>
            <w:r>
              <w:rPr>
                <w:rFonts w:hint="eastAsia" w:ascii="宋体" w:hAnsi="宋体" w:cs="宋体"/>
                <w:kern w:val="0"/>
                <w:szCs w:val="21"/>
              </w:rPr>
              <w:t>公共基础必修课</w:t>
            </w:r>
            <w:bookmarkEnd w:id="138"/>
            <w:bookmarkEnd w:id="139"/>
            <w:bookmarkEnd w:id="140"/>
          </w:p>
        </w:tc>
        <w:tc>
          <w:tcPr>
            <w:tcW w:w="3886" w:type="dxa"/>
            <w:vAlign w:val="center"/>
          </w:tcPr>
          <w:p>
            <w:pPr>
              <w:widowControl/>
              <w:spacing w:line="0" w:lineRule="atLeast"/>
              <w:jc w:val="both"/>
              <w:outlineLvl w:val="0"/>
              <w:rPr>
                <w:rFonts w:ascii="宋体" w:hAnsi="宋体" w:cs="宋体"/>
                <w:kern w:val="0"/>
                <w:szCs w:val="21"/>
              </w:rPr>
            </w:pPr>
            <w:bookmarkStart w:id="141" w:name="_Toc6976"/>
            <w:bookmarkStart w:id="142" w:name="_Toc24126"/>
            <w:bookmarkStart w:id="143" w:name="_Toc1383"/>
            <w:r>
              <w:rPr>
                <w:rFonts w:hint="eastAsia" w:ascii="宋体" w:hAnsi="宋体" w:cs="宋体"/>
                <w:kern w:val="0"/>
                <w:szCs w:val="21"/>
              </w:rPr>
              <w:t>本课程为体育选项教学，主要有篮球、排球、足球、气排球、乒乓球、羽毛球、体育舞蹈、健美操、武术散打、形体训练等项目供学生选课，是对第二学期选项的科目进行提升，教学内容主要是各项目的基本技术与战术，以及基本竞赛规则。</w:t>
            </w:r>
            <w:bookmarkEnd w:id="141"/>
            <w:bookmarkEnd w:id="142"/>
            <w:bookmarkEnd w:id="143"/>
          </w:p>
        </w:tc>
        <w:tc>
          <w:tcPr>
            <w:tcW w:w="3491" w:type="dxa"/>
            <w:vAlign w:val="center"/>
          </w:tcPr>
          <w:p>
            <w:pPr>
              <w:widowControl/>
              <w:spacing w:line="0" w:lineRule="atLeast"/>
              <w:jc w:val="both"/>
              <w:outlineLvl w:val="0"/>
              <w:rPr>
                <w:rFonts w:ascii="宋体" w:hAnsi="宋体" w:cs="宋体"/>
                <w:kern w:val="0"/>
                <w:szCs w:val="21"/>
              </w:rPr>
            </w:pPr>
            <w:bookmarkStart w:id="144" w:name="_Toc32322"/>
            <w:bookmarkStart w:id="145" w:name="_Toc3414"/>
            <w:bookmarkStart w:id="146" w:name="_Toc30685"/>
            <w:r>
              <w:rPr>
                <w:rFonts w:hint="eastAsia" w:ascii="宋体" w:hAnsi="宋体" w:cs="宋体"/>
                <w:kern w:val="0"/>
                <w:szCs w:val="21"/>
              </w:rPr>
              <w:t>学生根据自身兴趣爱好，任选一运动项目进行一学期的学习，学期目标掌握该运动项目的基本技术，能顺利通过该项目的素质和技能考核。培养终身体育习惯。</w:t>
            </w:r>
            <w:bookmarkEnd w:id="144"/>
            <w:bookmarkEnd w:id="145"/>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147" w:name="_Toc15311"/>
            <w:bookmarkStart w:id="148" w:name="_Toc14673"/>
            <w:bookmarkStart w:id="149" w:name="_Toc21617"/>
            <w:r>
              <w:rPr>
                <w:rFonts w:hint="eastAsia" w:ascii="宋体" w:hAnsi="宋体" w:cs="宋体"/>
                <w:kern w:val="0"/>
                <w:szCs w:val="21"/>
                <w:lang w:val="en-US" w:eastAsia="zh-CN"/>
              </w:rPr>
              <w:t>8</w:t>
            </w:r>
            <w:bookmarkEnd w:id="147"/>
            <w:bookmarkEnd w:id="148"/>
            <w:bookmarkEnd w:id="149"/>
          </w:p>
        </w:tc>
        <w:tc>
          <w:tcPr>
            <w:tcW w:w="748" w:type="dxa"/>
            <w:vAlign w:val="center"/>
          </w:tcPr>
          <w:p>
            <w:pPr>
              <w:widowControl/>
              <w:spacing w:line="0" w:lineRule="atLeast"/>
              <w:jc w:val="both"/>
              <w:outlineLvl w:val="0"/>
              <w:rPr>
                <w:rFonts w:ascii="宋体" w:hAnsi="宋体"/>
                <w:szCs w:val="21"/>
              </w:rPr>
            </w:pPr>
            <w:bookmarkStart w:id="150" w:name="_Toc23392"/>
            <w:bookmarkStart w:id="151" w:name="_Toc2507"/>
            <w:bookmarkStart w:id="152" w:name="_Toc30783"/>
            <w:r>
              <w:rPr>
                <w:rFonts w:hint="eastAsia" w:ascii="宋体" w:hAnsi="宋体"/>
                <w:szCs w:val="21"/>
              </w:rPr>
              <w:t>军事理论</w:t>
            </w:r>
            <w:bookmarkEnd w:id="150"/>
            <w:bookmarkEnd w:id="151"/>
            <w:bookmarkEnd w:id="152"/>
          </w:p>
        </w:tc>
        <w:tc>
          <w:tcPr>
            <w:tcW w:w="406" w:type="dxa"/>
            <w:vAlign w:val="center"/>
          </w:tcPr>
          <w:p>
            <w:pPr>
              <w:widowControl/>
              <w:spacing w:line="0" w:lineRule="atLeast"/>
              <w:jc w:val="both"/>
              <w:outlineLvl w:val="0"/>
              <w:rPr>
                <w:rFonts w:ascii="宋体" w:hAnsi="宋体" w:cs="宋体"/>
                <w:kern w:val="0"/>
                <w:szCs w:val="21"/>
              </w:rPr>
            </w:pPr>
            <w:bookmarkStart w:id="153" w:name="_Toc4144"/>
            <w:bookmarkStart w:id="154" w:name="_Toc23186"/>
            <w:bookmarkStart w:id="155" w:name="_Toc8161"/>
            <w:r>
              <w:rPr>
                <w:rFonts w:hint="eastAsia" w:ascii="宋体" w:hAnsi="宋体" w:cs="宋体"/>
                <w:kern w:val="0"/>
                <w:szCs w:val="21"/>
              </w:rPr>
              <w:t>公共基础必修课</w:t>
            </w:r>
            <w:bookmarkEnd w:id="153"/>
            <w:bookmarkEnd w:id="154"/>
            <w:bookmarkEnd w:id="155"/>
          </w:p>
        </w:tc>
        <w:tc>
          <w:tcPr>
            <w:tcW w:w="3886" w:type="dxa"/>
            <w:vAlign w:val="center"/>
          </w:tcPr>
          <w:p>
            <w:pPr>
              <w:widowControl/>
              <w:spacing w:line="0" w:lineRule="atLeast"/>
              <w:jc w:val="both"/>
              <w:outlineLvl w:val="0"/>
              <w:rPr>
                <w:rFonts w:ascii="宋体" w:hAnsi="宋体" w:cs="宋体"/>
                <w:kern w:val="0"/>
                <w:szCs w:val="21"/>
              </w:rPr>
            </w:pPr>
            <w:bookmarkStart w:id="156" w:name="_Toc8869"/>
            <w:bookmarkStart w:id="157" w:name="_Toc9038"/>
            <w:bookmarkStart w:id="158" w:name="_Toc28874"/>
            <w:r>
              <w:rPr>
                <w:rFonts w:hint="eastAsia" w:ascii="宋体" w:hAnsi="宋体" w:cs="宋体"/>
                <w:kern w:val="0"/>
                <w:szCs w:val="21"/>
              </w:rPr>
              <w:t>本课程的教学内容主要有：中国国防、军事思想、国家安全、军事高技术（信息化装备）、现代战争。通过该课程教学以提升学生国防意识和军事素养为重点，为实施军民融合发展战略和建设国防后备力量服务。</w:t>
            </w:r>
            <w:bookmarkEnd w:id="156"/>
            <w:bookmarkEnd w:id="157"/>
            <w:bookmarkEnd w:id="158"/>
          </w:p>
        </w:tc>
        <w:tc>
          <w:tcPr>
            <w:tcW w:w="3491" w:type="dxa"/>
            <w:vAlign w:val="center"/>
          </w:tcPr>
          <w:p>
            <w:pPr>
              <w:widowControl/>
              <w:spacing w:line="0" w:lineRule="atLeast"/>
              <w:jc w:val="both"/>
              <w:outlineLvl w:val="0"/>
              <w:rPr>
                <w:rFonts w:ascii="宋体" w:hAnsi="宋体" w:cs="宋体"/>
                <w:kern w:val="0"/>
                <w:szCs w:val="21"/>
              </w:rPr>
            </w:pPr>
            <w:bookmarkStart w:id="159" w:name="_Toc22092"/>
            <w:bookmarkStart w:id="160" w:name="_Toc21203"/>
            <w:bookmarkStart w:id="161" w:name="_Toc25559"/>
            <w:r>
              <w:rPr>
                <w:rFonts w:hint="eastAsia" w:ascii="宋体" w:hAnsi="宋体" w:cs="宋体"/>
                <w:kern w:val="0"/>
                <w:szCs w:val="21"/>
              </w:rPr>
              <w:t>通过本课程系统的国防知识教育和严格的军事课教学，使大学生掌握基本军事理论，达到增强国防观念和国家安全意识，强化爱国主义、集体主义观念，加强组织纪律性，促进大学生综合素质的提高。</w:t>
            </w:r>
            <w:bookmarkEnd w:id="159"/>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162" w:name="_Toc16696"/>
            <w:bookmarkStart w:id="163" w:name="_Toc13893"/>
            <w:bookmarkStart w:id="164" w:name="_Toc25033"/>
            <w:r>
              <w:rPr>
                <w:rFonts w:hint="eastAsia" w:ascii="宋体" w:hAnsi="宋体" w:cs="宋体"/>
                <w:kern w:val="0"/>
                <w:szCs w:val="21"/>
                <w:lang w:val="en-US" w:eastAsia="zh-CN"/>
              </w:rPr>
              <w:t>9</w:t>
            </w:r>
            <w:bookmarkEnd w:id="162"/>
            <w:bookmarkEnd w:id="163"/>
            <w:bookmarkEnd w:id="164"/>
          </w:p>
        </w:tc>
        <w:tc>
          <w:tcPr>
            <w:tcW w:w="748" w:type="dxa"/>
            <w:vAlign w:val="center"/>
          </w:tcPr>
          <w:p>
            <w:pPr>
              <w:widowControl/>
              <w:spacing w:line="0" w:lineRule="atLeast"/>
              <w:jc w:val="both"/>
              <w:outlineLvl w:val="0"/>
              <w:rPr>
                <w:rFonts w:ascii="宋体" w:hAnsi="宋体"/>
                <w:szCs w:val="21"/>
              </w:rPr>
            </w:pPr>
            <w:bookmarkStart w:id="165" w:name="_Toc23041"/>
            <w:bookmarkStart w:id="166" w:name="_Toc18523"/>
            <w:bookmarkStart w:id="167" w:name="_Toc2389"/>
            <w:r>
              <w:rPr>
                <w:rFonts w:hint="eastAsia" w:ascii="宋体" w:hAnsi="宋体"/>
                <w:szCs w:val="21"/>
              </w:rPr>
              <w:t>军事技能</w:t>
            </w:r>
            <w:bookmarkEnd w:id="165"/>
            <w:bookmarkEnd w:id="166"/>
            <w:bookmarkEnd w:id="167"/>
          </w:p>
        </w:tc>
        <w:tc>
          <w:tcPr>
            <w:tcW w:w="406" w:type="dxa"/>
            <w:vAlign w:val="center"/>
          </w:tcPr>
          <w:p>
            <w:pPr>
              <w:widowControl/>
              <w:spacing w:line="0" w:lineRule="atLeast"/>
              <w:jc w:val="both"/>
              <w:outlineLvl w:val="0"/>
              <w:rPr>
                <w:rFonts w:ascii="宋体" w:hAnsi="宋体" w:cs="宋体"/>
                <w:kern w:val="0"/>
                <w:szCs w:val="21"/>
              </w:rPr>
            </w:pPr>
            <w:bookmarkStart w:id="168" w:name="_Toc367"/>
            <w:bookmarkStart w:id="169" w:name="_Toc25993"/>
            <w:bookmarkStart w:id="170" w:name="_Toc31354"/>
            <w:r>
              <w:rPr>
                <w:rFonts w:hint="eastAsia" w:ascii="宋体" w:hAnsi="宋体" w:cs="宋体"/>
                <w:kern w:val="0"/>
                <w:szCs w:val="21"/>
              </w:rPr>
              <w:t>公共基础必修课</w:t>
            </w:r>
            <w:bookmarkEnd w:id="168"/>
            <w:bookmarkEnd w:id="169"/>
            <w:bookmarkEnd w:id="170"/>
          </w:p>
        </w:tc>
        <w:tc>
          <w:tcPr>
            <w:tcW w:w="3886" w:type="dxa"/>
            <w:vAlign w:val="center"/>
          </w:tcPr>
          <w:p>
            <w:pPr>
              <w:widowControl/>
              <w:spacing w:line="0" w:lineRule="atLeast"/>
              <w:jc w:val="both"/>
              <w:outlineLvl w:val="0"/>
              <w:rPr>
                <w:rFonts w:ascii="宋体" w:hAnsi="宋体" w:cs="宋体"/>
                <w:kern w:val="0"/>
                <w:szCs w:val="21"/>
              </w:rPr>
            </w:pPr>
            <w:bookmarkStart w:id="171" w:name="_Toc31353"/>
            <w:bookmarkStart w:id="172" w:name="_Toc14749"/>
            <w:bookmarkStart w:id="173" w:name="_Toc19422"/>
            <w:r>
              <w:rPr>
                <w:rFonts w:hint="eastAsia" w:ascii="宋体" w:hAnsi="宋体" w:cs="宋体"/>
                <w:kern w:val="0"/>
                <w:szCs w:val="21"/>
              </w:rPr>
              <w:t>教学内容包括：共同条令教育与训练、战术训练、防卫技能与战时防护训练、战备基础与应用训练等模块</w:t>
            </w:r>
            <w:bookmarkEnd w:id="171"/>
            <w:bookmarkEnd w:id="172"/>
            <w:bookmarkEnd w:id="173"/>
          </w:p>
        </w:tc>
        <w:tc>
          <w:tcPr>
            <w:tcW w:w="3491" w:type="dxa"/>
            <w:vAlign w:val="center"/>
          </w:tcPr>
          <w:p>
            <w:pPr>
              <w:widowControl/>
              <w:spacing w:line="0" w:lineRule="atLeast"/>
              <w:jc w:val="both"/>
              <w:outlineLvl w:val="0"/>
              <w:rPr>
                <w:rFonts w:ascii="宋体" w:hAnsi="宋体" w:cs="宋体"/>
                <w:kern w:val="0"/>
                <w:szCs w:val="21"/>
              </w:rPr>
            </w:pPr>
            <w:bookmarkStart w:id="174" w:name="_Toc13135"/>
            <w:bookmarkStart w:id="175" w:name="_Toc2231"/>
            <w:bookmarkStart w:id="176" w:name="_Toc5287"/>
            <w:r>
              <w:rPr>
                <w:rFonts w:hint="eastAsia" w:ascii="宋体" w:hAnsi="宋体" w:cs="宋体"/>
                <w:kern w:val="0"/>
                <w:szCs w:val="21"/>
              </w:rPr>
              <w:t>让学生了解掌握军事基础知识和基本军事技能，增强国防观念、国家安全意识和忧患危机意识，弘扬爱国主义精神、传承红色基因、提高学生综合国防素质。</w:t>
            </w:r>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177" w:name="_Toc1821"/>
            <w:bookmarkStart w:id="178" w:name="_Toc3798"/>
            <w:bookmarkStart w:id="179" w:name="_Toc16672"/>
            <w:r>
              <w:rPr>
                <w:rFonts w:hint="eastAsia" w:ascii="宋体" w:hAnsi="宋体" w:cs="宋体"/>
                <w:kern w:val="0"/>
                <w:szCs w:val="21"/>
                <w:lang w:val="en-US" w:eastAsia="zh-CN"/>
              </w:rPr>
              <w:t>10</w:t>
            </w:r>
            <w:bookmarkEnd w:id="177"/>
            <w:bookmarkEnd w:id="178"/>
            <w:bookmarkEnd w:id="179"/>
          </w:p>
        </w:tc>
        <w:tc>
          <w:tcPr>
            <w:tcW w:w="748" w:type="dxa"/>
            <w:vAlign w:val="center"/>
          </w:tcPr>
          <w:p>
            <w:pPr>
              <w:widowControl/>
              <w:spacing w:line="0" w:lineRule="atLeast"/>
              <w:jc w:val="both"/>
              <w:outlineLvl w:val="0"/>
              <w:rPr>
                <w:rFonts w:ascii="宋体" w:hAnsi="宋体"/>
                <w:szCs w:val="21"/>
              </w:rPr>
            </w:pPr>
            <w:bookmarkStart w:id="180" w:name="_Toc4656"/>
            <w:bookmarkStart w:id="181" w:name="_Toc25060"/>
            <w:bookmarkStart w:id="182" w:name="_Toc11814"/>
            <w:r>
              <w:rPr>
                <w:rFonts w:hint="eastAsia" w:ascii="宋体" w:hAnsi="宋体"/>
                <w:szCs w:val="21"/>
              </w:rPr>
              <w:t>形势与政策</w:t>
            </w:r>
            <w:bookmarkEnd w:id="180"/>
            <w:bookmarkEnd w:id="181"/>
            <w:bookmarkEnd w:id="182"/>
          </w:p>
        </w:tc>
        <w:tc>
          <w:tcPr>
            <w:tcW w:w="406" w:type="dxa"/>
            <w:vAlign w:val="center"/>
          </w:tcPr>
          <w:p>
            <w:pPr>
              <w:widowControl/>
              <w:spacing w:line="0" w:lineRule="atLeast"/>
              <w:jc w:val="both"/>
              <w:outlineLvl w:val="0"/>
              <w:rPr>
                <w:rFonts w:ascii="宋体" w:hAnsi="宋体" w:cs="宋体"/>
                <w:kern w:val="0"/>
                <w:szCs w:val="21"/>
              </w:rPr>
            </w:pPr>
            <w:bookmarkStart w:id="183" w:name="_Toc6452"/>
            <w:bookmarkStart w:id="184" w:name="_Toc14695"/>
            <w:bookmarkStart w:id="185" w:name="_Toc15089"/>
            <w:r>
              <w:rPr>
                <w:rFonts w:hint="eastAsia" w:ascii="宋体" w:hAnsi="宋体" w:cs="宋体"/>
                <w:kern w:val="0"/>
                <w:szCs w:val="21"/>
              </w:rPr>
              <w:t>公共基础必修课</w:t>
            </w:r>
            <w:bookmarkEnd w:id="183"/>
            <w:bookmarkEnd w:id="184"/>
            <w:bookmarkEnd w:id="185"/>
          </w:p>
        </w:tc>
        <w:tc>
          <w:tcPr>
            <w:tcW w:w="3886" w:type="dxa"/>
            <w:vAlign w:val="center"/>
          </w:tcPr>
          <w:p>
            <w:pPr>
              <w:widowControl/>
              <w:spacing w:line="0" w:lineRule="atLeast"/>
              <w:jc w:val="both"/>
              <w:outlineLvl w:val="0"/>
              <w:rPr>
                <w:rFonts w:ascii="宋体" w:hAnsi="宋体" w:cs="宋体"/>
                <w:kern w:val="0"/>
                <w:szCs w:val="21"/>
              </w:rPr>
            </w:pPr>
            <w:bookmarkStart w:id="186" w:name="_Toc6238"/>
            <w:bookmarkStart w:id="187" w:name="_Toc32263"/>
            <w:bookmarkStart w:id="188" w:name="_Toc22379"/>
            <w:r>
              <w:rPr>
                <w:rFonts w:hint="eastAsia" w:ascii="宋体" w:hAnsi="宋体" w:cs="宋体"/>
                <w:kern w:val="10"/>
                <w:szCs w:val="21"/>
              </w:rPr>
              <w:t>课程的教学内容包含形势与政策两部分。形势是国际和国内社会政治和经济发展的状况和态势，政策是党和国家为实现一定时期的目标和任务而制定的行为准则。政策的制定要以形势为客观依据，并根据形势的发展变化作必要的调整。形势与政策的内容是动态的，具有时效性强的特点。因此，形势与政策教育必须根据形势与政策的动态发展及其对人们的思想和社会生活的影响，及时地调整教学内容，要以事明理，以理论事，通过国际国内发生的重大事件和我国社会发展的进程，帮助学生正确认识形势，深刻理解党的政策。</w:t>
            </w:r>
            <w:bookmarkEnd w:id="186"/>
            <w:bookmarkEnd w:id="187"/>
            <w:bookmarkEnd w:id="188"/>
          </w:p>
        </w:tc>
        <w:tc>
          <w:tcPr>
            <w:tcW w:w="3491" w:type="dxa"/>
            <w:vAlign w:val="center"/>
          </w:tcPr>
          <w:p>
            <w:pPr>
              <w:widowControl/>
              <w:spacing w:line="0" w:lineRule="atLeast"/>
              <w:jc w:val="both"/>
              <w:outlineLvl w:val="0"/>
              <w:rPr>
                <w:rFonts w:ascii="宋体" w:hAnsi="宋体" w:cs="宋体"/>
                <w:kern w:val="0"/>
                <w:szCs w:val="21"/>
              </w:rPr>
            </w:pPr>
            <w:bookmarkStart w:id="189" w:name="_Toc30578"/>
            <w:bookmarkStart w:id="190" w:name="_Toc22305"/>
            <w:bookmarkStart w:id="191" w:name="_Toc15903"/>
            <w:r>
              <w:rPr>
                <w:rFonts w:hint="eastAsia" w:ascii="宋体" w:hAnsi="宋体" w:cs="宋体"/>
                <w:kern w:val="0"/>
                <w:szCs w:val="21"/>
              </w:rPr>
              <w:t>运用马克思主义的形势观及其认识分析形势的立场、观点和方法对国内外热点问题做出分析，使学生较为全面系统地掌握有关形势与政策的基本概念、正确分析形势的方法，理解政策及我国基本国情、党和政府基本治国方略的能力，形成正确的政治观，学会用马克思主义的立场、观点和方法观察分析形势，理解和执行政策。</w:t>
            </w:r>
            <w:bookmarkEnd w:id="189"/>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default" w:ascii="宋体" w:hAnsi="宋体" w:eastAsia="宋体" w:cs="宋体"/>
                <w:kern w:val="0"/>
                <w:sz w:val="21"/>
                <w:szCs w:val="21"/>
                <w:lang w:val="en-US" w:eastAsia="zh-CN" w:bidi="ar-SA"/>
              </w:rPr>
            </w:pPr>
            <w:bookmarkStart w:id="192" w:name="_Toc14573"/>
            <w:bookmarkStart w:id="193" w:name="_Toc32147"/>
            <w:bookmarkStart w:id="194" w:name="_Toc1930"/>
            <w:r>
              <w:rPr>
                <w:rFonts w:ascii="宋体" w:hAnsi="宋体" w:cs="宋体"/>
                <w:kern w:val="0"/>
                <w:szCs w:val="21"/>
              </w:rPr>
              <w:t>1</w:t>
            </w:r>
            <w:r>
              <w:rPr>
                <w:rFonts w:hint="eastAsia" w:ascii="宋体" w:hAnsi="宋体" w:cs="宋体"/>
                <w:kern w:val="0"/>
                <w:szCs w:val="21"/>
                <w:lang w:val="en-US" w:eastAsia="zh-CN"/>
              </w:rPr>
              <w:t>1</w:t>
            </w:r>
            <w:bookmarkEnd w:id="192"/>
            <w:bookmarkEnd w:id="193"/>
            <w:bookmarkEnd w:id="194"/>
          </w:p>
        </w:tc>
        <w:tc>
          <w:tcPr>
            <w:tcW w:w="748" w:type="dxa"/>
            <w:vAlign w:val="center"/>
          </w:tcPr>
          <w:p>
            <w:pPr>
              <w:widowControl/>
              <w:spacing w:line="0" w:lineRule="atLeast"/>
              <w:jc w:val="both"/>
              <w:outlineLvl w:val="0"/>
              <w:rPr>
                <w:rFonts w:ascii="宋体" w:hAnsi="宋体"/>
                <w:szCs w:val="21"/>
              </w:rPr>
            </w:pPr>
            <w:bookmarkStart w:id="195" w:name="_Toc31013"/>
            <w:bookmarkStart w:id="196" w:name="_Toc16614"/>
            <w:bookmarkStart w:id="197" w:name="_Toc23785"/>
            <w:r>
              <w:rPr>
                <w:rFonts w:hint="eastAsia" w:ascii="宋体" w:hAnsi="宋体"/>
                <w:szCs w:val="21"/>
              </w:rPr>
              <w:t>大学生职业发展与就业指导</w:t>
            </w:r>
            <w:bookmarkEnd w:id="195"/>
            <w:bookmarkEnd w:id="196"/>
            <w:bookmarkEnd w:id="197"/>
          </w:p>
        </w:tc>
        <w:tc>
          <w:tcPr>
            <w:tcW w:w="406" w:type="dxa"/>
            <w:vAlign w:val="center"/>
          </w:tcPr>
          <w:p>
            <w:pPr>
              <w:widowControl/>
              <w:spacing w:line="0" w:lineRule="atLeast"/>
              <w:jc w:val="both"/>
              <w:outlineLvl w:val="0"/>
              <w:rPr>
                <w:rFonts w:ascii="宋体" w:hAnsi="宋体" w:cs="宋体"/>
                <w:kern w:val="0"/>
                <w:szCs w:val="21"/>
              </w:rPr>
            </w:pPr>
            <w:bookmarkStart w:id="198" w:name="_Toc27081"/>
            <w:bookmarkStart w:id="199" w:name="_Toc12066"/>
            <w:bookmarkStart w:id="200" w:name="_Toc2390"/>
            <w:r>
              <w:rPr>
                <w:rFonts w:hint="eastAsia" w:ascii="宋体" w:hAnsi="宋体" w:cs="宋体"/>
                <w:kern w:val="0"/>
                <w:szCs w:val="21"/>
              </w:rPr>
              <w:t>公共基础必修课</w:t>
            </w:r>
            <w:bookmarkEnd w:id="198"/>
            <w:bookmarkEnd w:id="199"/>
            <w:bookmarkEnd w:id="200"/>
          </w:p>
        </w:tc>
        <w:tc>
          <w:tcPr>
            <w:tcW w:w="3886" w:type="dxa"/>
            <w:vAlign w:val="center"/>
          </w:tcPr>
          <w:p>
            <w:pPr>
              <w:spacing w:line="0" w:lineRule="atLeast"/>
              <w:jc w:val="both"/>
              <w:rPr>
                <w:rFonts w:ascii="宋体" w:hAnsi="宋体" w:cs="宋体"/>
                <w:kern w:val="10"/>
                <w:szCs w:val="21"/>
              </w:rPr>
            </w:pPr>
            <w:r>
              <w:rPr>
                <w:rFonts w:hint="eastAsia" w:ascii="宋体" w:hAnsi="宋体" w:cs="宋体"/>
                <w:kern w:val="10"/>
                <w:szCs w:val="21"/>
              </w:rPr>
              <w:t>主要内容包括建立生涯与职业意识、职业发展规划、提高就业能力、求职过程指导、职业适应与发展等。</w:t>
            </w:r>
          </w:p>
        </w:tc>
        <w:tc>
          <w:tcPr>
            <w:tcW w:w="3491" w:type="dxa"/>
            <w:vAlign w:val="center"/>
          </w:tcPr>
          <w:p>
            <w:pPr>
              <w:spacing w:line="0" w:lineRule="atLeast"/>
              <w:jc w:val="both"/>
              <w:rPr>
                <w:rFonts w:ascii="宋体" w:hAnsi="宋体" w:cs="宋体"/>
                <w:kern w:val="10"/>
                <w:szCs w:val="21"/>
              </w:rPr>
            </w:pPr>
            <w:r>
              <w:rPr>
                <w:rFonts w:hint="eastAsia" w:ascii="宋体" w:hAnsi="宋体" w:cs="宋体"/>
                <w:kern w:val="10"/>
                <w:szCs w:val="21"/>
              </w:rPr>
              <w:t>大学生职业发展与就业指导课现阶段作为公共课，既强调职业在人生发展中的重要地位，又关注学生的全面发展和终身发展。通过激发大学生职业生涯发展的自主意识，树立正确的就业观，促使大学生理性地规划自身未来的发展，并努力在学习过程中自觉地提高就业能力和生涯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201" w:name="_Toc28193"/>
            <w:bookmarkStart w:id="202" w:name="_Toc26435"/>
            <w:bookmarkStart w:id="203" w:name="_Toc31262"/>
            <w:r>
              <w:rPr>
                <w:rFonts w:hint="eastAsia" w:ascii="宋体" w:hAnsi="宋体" w:cs="宋体"/>
                <w:kern w:val="0"/>
                <w:szCs w:val="21"/>
              </w:rPr>
              <w:t>1</w:t>
            </w:r>
            <w:r>
              <w:rPr>
                <w:rFonts w:hint="eastAsia" w:ascii="宋体" w:hAnsi="宋体" w:cs="宋体"/>
                <w:kern w:val="0"/>
                <w:szCs w:val="21"/>
                <w:lang w:val="en-US" w:eastAsia="zh-CN"/>
              </w:rPr>
              <w:t>2</w:t>
            </w:r>
            <w:bookmarkEnd w:id="201"/>
            <w:bookmarkEnd w:id="202"/>
            <w:bookmarkEnd w:id="203"/>
          </w:p>
        </w:tc>
        <w:tc>
          <w:tcPr>
            <w:tcW w:w="748" w:type="dxa"/>
            <w:vAlign w:val="center"/>
          </w:tcPr>
          <w:p>
            <w:pPr>
              <w:widowControl/>
              <w:spacing w:line="0" w:lineRule="atLeast"/>
              <w:jc w:val="both"/>
              <w:outlineLvl w:val="0"/>
              <w:rPr>
                <w:rFonts w:ascii="宋体" w:hAnsi="宋体"/>
                <w:szCs w:val="21"/>
              </w:rPr>
            </w:pPr>
            <w:bookmarkStart w:id="204" w:name="_Toc6144"/>
            <w:bookmarkStart w:id="205" w:name="_Toc29716"/>
            <w:bookmarkStart w:id="206" w:name="_Toc4747"/>
            <w:r>
              <w:rPr>
                <w:rFonts w:hint="eastAsia" w:ascii="宋体" w:hAnsi="宋体"/>
                <w:szCs w:val="21"/>
              </w:rPr>
              <w:t>大学生心理健康教育</w:t>
            </w:r>
            <w:bookmarkEnd w:id="204"/>
            <w:bookmarkEnd w:id="205"/>
            <w:bookmarkEnd w:id="206"/>
          </w:p>
        </w:tc>
        <w:tc>
          <w:tcPr>
            <w:tcW w:w="406" w:type="dxa"/>
            <w:vAlign w:val="center"/>
          </w:tcPr>
          <w:p>
            <w:pPr>
              <w:widowControl/>
              <w:spacing w:line="0" w:lineRule="atLeast"/>
              <w:jc w:val="both"/>
              <w:outlineLvl w:val="0"/>
              <w:rPr>
                <w:rFonts w:ascii="宋体" w:hAnsi="宋体" w:cs="宋体"/>
                <w:kern w:val="0"/>
                <w:szCs w:val="21"/>
              </w:rPr>
            </w:pPr>
            <w:bookmarkStart w:id="207" w:name="_Toc2203"/>
            <w:bookmarkStart w:id="208" w:name="_Toc13555"/>
            <w:bookmarkStart w:id="209" w:name="_Toc25127"/>
            <w:r>
              <w:rPr>
                <w:rFonts w:hint="eastAsia" w:ascii="宋体" w:hAnsi="宋体" w:cs="宋体"/>
                <w:kern w:val="0"/>
                <w:szCs w:val="21"/>
              </w:rPr>
              <w:t>公共基础必修课</w:t>
            </w:r>
            <w:bookmarkEnd w:id="207"/>
            <w:bookmarkEnd w:id="208"/>
            <w:bookmarkEnd w:id="209"/>
          </w:p>
        </w:tc>
        <w:tc>
          <w:tcPr>
            <w:tcW w:w="3886" w:type="dxa"/>
            <w:vAlign w:val="center"/>
          </w:tcPr>
          <w:p>
            <w:pPr>
              <w:widowControl/>
              <w:spacing w:line="0" w:lineRule="atLeast"/>
              <w:jc w:val="both"/>
              <w:outlineLvl w:val="0"/>
              <w:rPr>
                <w:rFonts w:ascii="宋体" w:hAnsi="宋体"/>
                <w:szCs w:val="21"/>
              </w:rPr>
            </w:pPr>
            <w:bookmarkStart w:id="210" w:name="_Toc29523"/>
            <w:bookmarkStart w:id="211" w:name="_Toc26515"/>
            <w:bookmarkStart w:id="212" w:name="_Toc23835"/>
            <w:r>
              <w:rPr>
                <w:rFonts w:hint="eastAsia" w:ascii="宋体" w:hAnsi="宋体"/>
                <w:szCs w:val="21"/>
              </w:rPr>
              <w:t>主要内容包括认识大学生心理健康、自我意识的发展、人格心理的健全、情绪的调节、人际交往与心理健康、恋爱与性心理的调适、网络心理的培育、挫折心理的调控、心理上迎接成功等。</w:t>
            </w:r>
            <w:bookmarkEnd w:id="210"/>
            <w:bookmarkEnd w:id="211"/>
            <w:bookmarkEnd w:id="212"/>
          </w:p>
        </w:tc>
        <w:tc>
          <w:tcPr>
            <w:tcW w:w="3491" w:type="dxa"/>
            <w:vAlign w:val="center"/>
          </w:tcPr>
          <w:p>
            <w:pPr>
              <w:widowControl/>
              <w:spacing w:line="0" w:lineRule="atLeast"/>
              <w:jc w:val="both"/>
              <w:outlineLvl w:val="0"/>
              <w:rPr>
                <w:rFonts w:ascii="宋体" w:hAnsi="宋体"/>
                <w:szCs w:val="21"/>
              </w:rPr>
            </w:pPr>
            <w:bookmarkStart w:id="213" w:name="_Toc10242"/>
            <w:bookmarkStart w:id="214" w:name="_Toc11885"/>
            <w:bookmarkStart w:id="215" w:name="_Toc20883"/>
            <w:r>
              <w:rPr>
                <w:rFonts w:hint="eastAsia" w:ascii="宋体" w:hAnsi="宋体"/>
                <w:szCs w:val="21"/>
              </w:rPr>
              <w:t>掌握心理健康概念、健康标准及自我意识、人格等概念，培养学生运用心理学原理自我审视，观察他人，看待世界，并运用所学知识，处理好人际关系，调节情绪，维护心理健康。</w:t>
            </w:r>
            <w:bookmarkEnd w:id="213"/>
            <w:bookmarkEnd w:id="214"/>
            <w:bookmarkEnd w:id="2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216" w:name="_Toc27677"/>
            <w:bookmarkStart w:id="217" w:name="_Toc16993"/>
            <w:bookmarkStart w:id="218" w:name="_Toc7196"/>
            <w:r>
              <w:rPr>
                <w:rFonts w:hint="eastAsia" w:ascii="宋体" w:hAnsi="宋体" w:cs="宋体"/>
                <w:kern w:val="0"/>
                <w:szCs w:val="21"/>
              </w:rPr>
              <w:t>1</w:t>
            </w:r>
            <w:r>
              <w:rPr>
                <w:rFonts w:hint="eastAsia" w:ascii="宋体" w:hAnsi="宋体" w:cs="宋体"/>
                <w:kern w:val="0"/>
                <w:szCs w:val="21"/>
                <w:lang w:val="en-US" w:eastAsia="zh-CN"/>
              </w:rPr>
              <w:t>3</w:t>
            </w:r>
            <w:bookmarkEnd w:id="216"/>
            <w:bookmarkEnd w:id="217"/>
            <w:bookmarkEnd w:id="218"/>
          </w:p>
        </w:tc>
        <w:tc>
          <w:tcPr>
            <w:tcW w:w="748" w:type="dxa"/>
            <w:vAlign w:val="center"/>
          </w:tcPr>
          <w:p>
            <w:pPr>
              <w:widowControl/>
              <w:spacing w:line="0" w:lineRule="atLeast"/>
              <w:jc w:val="both"/>
              <w:outlineLvl w:val="0"/>
              <w:rPr>
                <w:rFonts w:ascii="宋体" w:hAnsi="宋体"/>
                <w:szCs w:val="21"/>
              </w:rPr>
            </w:pPr>
            <w:bookmarkStart w:id="219" w:name="_Toc30535"/>
            <w:bookmarkStart w:id="220" w:name="_Toc32489"/>
            <w:bookmarkStart w:id="221" w:name="_Toc31968"/>
            <w:r>
              <w:rPr>
                <w:rFonts w:hint="eastAsia" w:ascii="宋体" w:hAnsi="宋体"/>
                <w:szCs w:val="21"/>
              </w:rPr>
              <w:t>劳动教育</w:t>
            </w:r>
            <w:bookmarkEnd w:id="219"/>
            <w:bookmarkEnd w:id="220"/>
            <w:bookmarkEnd w:id="221"/>
          </w:p>
        </w:tc>
        <w:tc>
          <w:tcPr>
            <w:tcW w:w="406" w:type="dxa"/>
            <w:vAlign w:val="center"/>
          </w:tcPr>
          <w:p>
            <w:pPr>
              <w:widowControl/>
              <w:spacing w:line="0" w:lineRule="atLeast"/>
              <w:jc w:val="both"/>
              <w:outlineLvl w:val="0"/>
              <w:rPr>
                <w:rFonts w:ascii="宋体" w:hAnsi="宋体" w:cs="宋体"/>
                <w:kern w:val="0"/>
                <w:szCs w:val="21"/>
              </w:rPr>
            </w:pPr>
            <w:bookmarkStart w:id="222" w:name="_Toc5509"/>
            <w:bookmarkStart w:id="223" w:name="_Toc2644"/>
            <w:bookmarkStart w:id="224" w:name="_Toc12518"/>
            <w:r>
              <w:rPr>
                <w:rFonts w:hint="eastAsia" w:ascii="宋体" w:hAnsi="宋体" w:cs="宋体"/>
                <w:kern w:val="0"/>
                <w:szCs w:val="21"/>
              </w:rPr>
              <w:t>公共基础必修课</w:t>
            </w:r>
            <w:bookmarkEnd w:id="222"/>
            <w:bookmarkEnd w:id="223"/>
            <w:bookmarkEnd w:id="224"/>
          </w:p>
        </w:tc>
        <w:tc>
          <w:tcPr>
            <w:tcW w:w="3886" w:type="dxa"/>
            <w:vAlign w:val="center"/>
          </w:tcPr>
          <w:p>
            <w:pPr>
              <w:widowControl/>
              <w:spacing w:line="0" w:lineRule="atLeast"/>
              <w:jc w:val="both"/>
              <w:outlineLvl w:val="0"/>
              <w:rPr>
                <w:rFonts w:ascii="宋体" w:hAnsi="宋体"/>
                <w:szCs w:val="21"/>
              </w:rPr>
            </w:pPr>
            <w:bookmarkStart w:id="225" w:name="_Toc26885"/>
            <w:bookmarkStart w:id="226" w:name="_Toc26240"/>
            <w:bookmarkStart w:id="227" w:name="_Toc2957"/>
            <w:r>
              <w:rPr>
                <w:rFonts w:hint="eastAsia" w:ascii="宋体" w:hAnsi="宋体" w:cs="宋体"/>
                <w:kern w:val="0"/>
                <w:szCs w:val="21"/>
              </w:rPr>
              <w:t>课程涵盖劳动科学不同领域的基础知识，围绕劳动主题，从历史到未来，完整勾勒出劳动科学的基本样貌，包括劳动的思想、劳动与人生、劳动与经济、劳动与法律、劳动与安全、劳动的未来等内容。</w:t>
            </w:r>
            <w:bookmarkEnd w:id="225"/>
            <w:bookmarkEnd w:id="226"/>
            <w:bookmarkEnd w:id="227"/>
          </w:p>
        </w:tc>
        <w:tc>
          <w:tcPr>
            <w:tcW w:w="3491" w:type="dxa"/>
            <w:vAlign w:val="center"/>
          </w:tcPr>
          <w:p>
            <w:pPr>
              <w:widowControl/>
              <w:spacing w:line="0" w:lineRule="atLeast"/>
              <w:jc w:val="both"/>
              <w:outlineLvl w:val="0"/>
              <w:rPr>
                <w:rFonts w:ascii="宋体" w:hAnsi="宋体"/>
                <w:szCs w:val="21"/>
              </w:rPr>
            </w:pPr>
            <w:bookmarkStart w:id="228" w:name="_Toc23431"/>
            <w:bookmarkStart w:id="229" w:name="_Toc21098"/>
            <w:bookmarkStart w:id="230" w:name="_Toc18617"/>
            <w:r>
              <w:rPr>
                <w:rFonts w:hint="eastAsia" w:ascii="宋体" w:hAnsi="宋体" w:cs="宋体"/>
                <w:kern w:val="0"/>
                <w:szCs w:val="21"/>
              </w:rPr>
              <w:t>通过本课程学习，能使学生掌握与自身未来职业发展密切相关的通用劳动科学知识，理解和形成马克思主义劳动观，树立正确的劳动价值取向和积极的劳动精神面貌。</w:t>
            </w:r>
            <w:bookmarkEnd w:id="228"/>
            <w:bookmarkEnd w:id="229"/>
            <w:bookmarkEnd w:id="2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color w:val="000000" w:themeColor="text1"/>
                <w:kern w:val="0"/>
                <w:sz w:val="21"/>
                <w:szCs w:val="21"/>
                <w:lang w:val="en-US" w:eastAsia="zh-CN" w:bidi="ar-SA"/>
                <w14:textFill>
                  <w14:solidFill>
                    <w14:schemeClr w14:val="tx1"/>
                  </w14:solidFill>
                </w14:textFill>
              </w:rPr>
            </w:pPr>
            <w:bookmarkStart w:id="231" w:name="_Toc5614"/>
            <w:bookmarkStart w:id="232" w:name="_Toc23119"/>
            <w:bookmarkStart w:id="233" w:name="_Toc10141"/>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4</w:t>
            </w:r>
            <w:bookmarkEnd w:id="231"/>
            <w:bookmarkEnd w:id="232"/>
            <w:bookmarkEnd w:id="233"/>
          </w:p>
        </w:tc>
        <w:tc>
          <w:tcPr>
            <w:tcW w:w="748" w:type="dxa"/>
            <w:vAlign w:val="center"/>
          </w:tcPr>
          <w:p>
            <w:pPr>
              <w:widowControl/>
              <w:spacing w:line="0" w:lineRule="atLeast"/>
              <w:jc w:val="both"/>
              <w:outlineLvl w:val="0"/>
              <w:rPr>
                <w:rFonts w:ascii="宋体" w:hAnsi="宋体"/>
                <w:szCs w:val="21"/>
              </w:rPr>
            </w:pPr>
            <w:bookmarkStart w:id="234" w:name="_Toc26150"/>
            <w:bookmarkStart w:id="235" w:name="_Toc14563"/>
            <w:bookmarkStart w:id="236" w:name="_Toc7655"/>
            <w:r>
              <w:rPr>
                <w:rFonts w:hint="eastAsia" w:ascii="宋体" w:hAnsi="宋体"/>
                <w:szCs w:val="21"/>
              </w:rPr>
              <w:t>国家安全教育</w:t>
            </w:r>
            <w:bookmarkEnd w:id="234"/>
            <w:bookmarkEnd w:id="235"/>
            <w:bookmarkEnd w:id="236"/>
          </w:p>
        </w:tc>
        <w:tc>
          <w:tcPr>
            <w:tcW w:w="406" w:type="dxa"/>
            <w:vAlign w:val="center"/>
          </w:tcPr>
          <w:p>
            <w:pPr>
              <w:widowControl/>
              <w:spacing w:line="0" w:lineRule="atLeast"/>
              <w:jc w:val="both"/>
              <w:outlineLvl w:val="0"/>
              <w:rPr>
                <w:rFonts w:ascii="宋体" w:hAnsi="宋体" w:cs="宋体"/>
                <w:kern w:val="0"/>
                <w:szCs w:val="21"/>
              </w:rPr>
            </w:pPr>
            <w:bookmarkStart w:id="237" w:name="_Toc6052"/>
            <w:bookmarkStart w:id="238" w:name="_Toc28366"/>
            <w:bookmarkStart w:id="239" w:name="_Toc16406"/>
            <w:r>
              <w:rPr>
                <w:rFonts w:hint="eastAsia" w:ascii="宋体" w:hAnsi="宋体" w:cs="宋体"/>
                <w:kern w:val="0"/>
                <w:szCs w:val="21"/>
              </w:rPr>
              <w:t>公共基础必修课</w:t>
            </w:r>
            <w:bookmarkEnd w:id="237"/>
            <w:bookmarkEnd w:id="238"/>
            <w:bookmarkEnd w:id="239"/>
          </w:p>
        </w:tc>
        <w:tc>
          <w:tcPr>
            <w:tcW w:w="3886" w:type="dxa"/>
            <w:vAlign w:val="center"/>
          </w:tcPr>
          <w:p>
            <w:pPr>
              <w:widowControl/>
              <w:spacing w:line="0" w:lineRule="atLeast"/>
              <w:jc w:val="both"/>
              <w:outlineLvl w:val="0"/>
              <w:rPr>
                <w:rFonts w:ascii="宋体" w:hAnsi="宋体"/>
                <w:szCs w:val="21"/>
              </w:rPr>
            </w:pPr>
            <w:bookmarkStart w:id="240" w:name="_Toc31587"/>
            <w:bookmarkStart w:id="241" w:name="_Toc31426"/>
            <w:bookmarkStart w:id="242" w:name="_Toc20628"/>
            <w:r>
              <w:t>本课程以习近平总体国家安全观为主线，全面介绍国家安全战略、国家安全管理和国家安全法治等内容，向大学生展现一张宏伟的国家安全蓝图，激发大学生的爱国主义情怀。</w:t>
            </w:r>
            <w:bookmarkEnd w:id="240"/>
            <w:bookmarkEnd w:id="241"/>
            <w:bookmarkEnd w:id="242"/>
          </w:p>
        </w:tc>
        <w:tc>
          <w:tcPr>
            <w:tcW w:w="3491" w:type="dxa"/>
            <w:vAlign w:val="center"/>
          </w:tcPr>
          <w:p>
            <w:pPr>
              <w:widowControl/>
              <w:spacing w:line="0" w:lineRule="atLeast"/>
              <w:jc w:val="both"/>
              <w:outlineLvl w:val="0"/>
              <w:rPr>
                <w:rFonts w:ascii="宋体" w:hAnsi="宋体"/>
                <w:szCs w:val="21"/>
              </w:rPr>
            </w:pPr>
            <w:bookmarkStart w:id="243" w:name="_Toc2926"/>
            <w:bookmarkStart w:id="244" w:name="_Toc9655"/>
            <w:bookmarkStart w:id="245" w:name="_Toc26470"/>
            <w:r>
              <w:rPr>
                <w:rFonts w:hint="eastAsia"/>
              </w:rPr>
              <w:t>本课程</w:t>
            </w:r>
            <w:r>
              <w:t>通过案例教学，以鲜活的安全案例来阐述国家安全理论，让大学生从生动的案例中学习国家安全知识，培养大学生维护国家安全的责任感与能力。</w:t>
            </w:r>
            <w:bookmarkEnd w:id="243"/>
            <w:bookmarkEnd w:id="244"/>
            <w:bookmarkEnd w:id="2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246" w:name="_Toc32167"/>
            <w:bookmarkStart w:id="247" w:name="_Toc28825"/>
            <w:bookmarkStart w:id="248" w:name="_Toc449"/>
            <w:r>
              <w:rPr>
                <w:rFonts w:ascii="宋体" w:hAnsi="宋体" w:cs="宋体"/>
                <w:kern w:val="0"/>
                <w:szCs w:val="21"/>
              </w:rPr>
              <w:t>1</w:t>
            </w:r>
            <w:r>
              <w:rPr>
                <w:rFonts w:hint="eastAsia" w:ascii="宋体" w:hAnsi="宋体" w:cs="宋体"/>
                <w:kern w:val="0"/>
                <w:szCs w:val="21"/>
                <w:lang w:val="en-US" w:eastAsia="zh-CN"/>
              </w:rPr>
              <w:t>5</w:t>
            </w:r>
            <w:bookmarkEnd w:id="246"/>
            <w:bookmarkEnd w:id="247"/>
            <w:bookmarkEnd w:id="248"/>
          </w:p>
        </w:tc>
        <w:tc>
          <w:tcPr>
            <w:tcW w:w="748" w:type="dxa"/>
            <w:vAlign w:val="center"/>
          </w:tcPr>
          <w:p>
            <w:pPr>
              <w:widowControl/>
              <w:spacing w:line="0" w:lineRule="atLeast"/>
              <w:jc w:val="both"/>
              <w:outlineLvl w:val="0"/>
              <w:rPr>
                <w:rFonts w:ascii="宋体" w:hAnsi="宋体"/>
                <w:color w:val="000000" w:themeColor="text1"/>
                <w:szCs w:val="21"/>
                <w14:textFill>
                  <w14:solidFill>
                    <w14:schemeClr w14:val="tx1"/>
                  </w14:solidFill>
                </w14:textFill>
              </w:rPr>
            </w:pPr>
            <w:bookmarkStart w:id="249" w:name="_Toc863"/>
            <w:bookmarkStart w:id="250" w:name="_Toc17445"/>
            <w:bookmarkStart w:id="251" w:name="_Toc12076"/>
            <w:r>
              <w:rPr>
                <w:rFonts w:hint="eastAsia" w:ascii="宋体" w:hAnsi="宋体"/>
                <w:color w:val="000000" w:themeColor="text1"/>
                <w:szCs w:val="21"/>
                <w:lang w:val="en-US" w:eastAsia="zh-CN"/>
                <w14:textFill>
                  <w14:solidFill>
                    <w14:schemeClr w14:val="tx1"/>
                  </w14:solidFill>
                </w14:textFill>
              </w:rPr>
              <w:t>高职</w:t>
            </w:r>
            <w:r>
              <w:rPr>
                <w:rFonts w:hint="eastAsia" w:ascii="宋体" w:hAnsi="宋体"/>
                <w:color w:val="000000" w:themeColor="text1"/>
                <w:szCs w:val="21"/>
                <w14:textFill>
                  <w14:solidFill>
                    <w14:schemeClr w14:val="tx1"/>
                  </w14:solidFill>
                </w14:textFill>
              </w:rPr>
              <w:t>英语</w:t>
            </w:r>
            <w:bookmarkEnd w:id="249"/>
            <w:bookmarkEnd w:id="250"/>
            <w:bookmarkEnd w:id="251"/>
          </w:p>
        </w:tc>
        <w:tc>
          <w:tcPr>
            <w:tcW w:w="406" w:type="dxa"/>
            <w:vAlign w:val="center"/>
          </w:tcPr>
          <w:p>
            <w:pPr>
              <w:widowControl/>
              <w:spacing w:line="0" w:lineRule="atLeast"/>
              <w:jc w:val="both"/>
              <w:outlineLvl w:val="0"/>
              <w:rPr>
                <w:rFonts w:ascii="宋体" w:hAnsi="宋体" w:cs="宋体"/>
                <w:kern w:val="0"/>
                <w:szCs w:val="21"/>
              </w:rPr>
            </w:pPr>
            <w:bookmarkStart w:id="252" w:name="_Toc21185"/>
            <w:bookmarkStart w:id="253" w:name="_Toc9881"/>
            <w:bookmarkStart w:id="254" w:name="_Toc9897"/>
            <w:r>
              <w:rPr>
                <w:rFonts w:hint="eastAsia" w:ascii="宋体" w:hAnsi="宋体" w:cs="宋体"/>
                <w:kern w:val="0"/>
                <w:szCs w:val="21"/>
              </w:rPr>
              <w:t>公共基础限选课</w:t>
            </w:r>
            <w:bookmarkEnd w:id="252"/>
            <w:bookmarkEnd w:id="253"/>
            <w:bookmarkEnd w:id="254"/>
          </w:p>
        </w:tc>
        <w:tc>
          <w:tcPr>
            <w:tcW w:w="3886" w:type="dxa"/>
            <w:vAlign w:val="center"/>
          </w:tcPr>
          <w:p>
            <w:pPr>
              <w:widowControl/>
              <w:spacing w:line="0" w:lineRule="atLeast"/>
              <w:jc w:val="both"/>
              <w:outlineLvl w:val="0"/>
              <w:rPr>
                <w:rFonts w:ascii="宋体" w:hAnsi="宋体" w:cs="宋体"/>
                <w:kern w:val="0"/>
                <w:szCs w:val="21"/>
              </w:rPr>
            </w:pPr>
            <w:bookmarkStart w:id="255" w:name="_Toc8682"/>
            <w:bookmarkStart w:id="256" w:name="_Toc15077"/>
            <w:bookmarkStart w:id="257" w:name="_Toc8553"/>
            <w:r>
              <w:rPr>
                <w:rFonts w:ascii="宋体" w:hAnsi="宋体"/>
                <w:szCs w:val="21"/>
              </w:rPr>
              <w:t xml:space="preserve">1. </w:t>
            </w:r>
            <w:r>
              <w:rPr>
                <w:rFonts w:hint="eastAsia" w:ascii="宋体" w:hAnsi="宋体"/>
                <w:szCs w:val="21"/>
              </w:rPr>
              <w:t>通过学习主要英语语言国家的文化背景知识，了解相关的跨文化交际常识，能够做到涉外交际中的礼仪规范；</w:t>
            </w:r>
            <w:r>
              <w:rPr>
                <w:rFonts w:ascii="宋体" w:hAnsi="宋体"/>
                <w:szCs w:val="21"/>
              </w:rPr>
              <w:t xml:space="preserve">2. </w:t>
            </w:r>
            <w:r>
              <w:rPr>
                <w:rFonts w:hint="eastAsia" w:ascii="宋体" w:hAnsi="宋体"/>
                <w:szCs w:val="21"/>
              </w:rPr>
              <w:t>通过学习语音发音规律和语法知识，进一步掌握基础的语音知识，达到发音、语调基本正确，了解基本语言规律。</w:t>
            </w:r>
            <w:r>
              <w:rPr>
                <w:rFonts w:ascii="宋体" w:hAnsi="宋体"/>
                <w:szCs w:val="21"/>
              </w:rPr>
              <w:t xml:space="preserve">3. </w:t>
            </w:r>
            <w:r>
              <w:rPr>
                <w:rFonts w:hint="eastAsia" w:ascii="宋体" w:hAnsi="宋体"/>
                <w:szCs w:val="21"/>
              </w:rPr>
              <w:t>通过练习常用口头交际对话，能够听懂一般交际中的简单对话，达到日常简单沟通无障碍；</w:t>
            </w:r>
            <w:r>
              <w:rPr>
                <w:rFonts w:ascii="宋体" w:hAnsi="宋体"/>
                <w:szCs w:val="21"/>
              </w:rPr>
              <w:t xml:space="preserve">4. </w:t>
            </w:r>
            <w:r>
              <w:rPr>
                <w:rFonts w:hint="eastAsia" w:ascii="宋体" w:hAnsi="宋体"/>
                <w:szCs w:val="21"/>
              </w:rPr>
              <w:t>通过各类主题阅读短文训练，能够理解工作中常用的实用文体，如信函、产品说明、采购合同等；</w:t>
            </w:r>
            <w:r>
              <w:rPr>
                <w:rFonts w:ascii="宋体" w:hAnsi="宋体"/>
                <w:szCs w:val="21"/>
              </w:rPr>
              <w:t xml:space="preserve">5. </w:t>
            </w:r>
            <w:r>
              <w:rPr>
                <w:rFonts w:hint="eastAsia" w:ascii="宋体" w:hAnsi="宋体"/>
                <w:szCs w:val="21"/>
              </w:rPr>
              <w:t>通过学习写作范文，能读懂通用的简短实用文字材料并进行模拟套写。能借助词典、网络软件等工具将中等难度的一般题材的文字材料和对外交往中的一般业务文字材料进行汉英互译。</w:t>
            </w:r>
            <w:bookmarkEnd w:id="255"/>
            <w:bookmarkEnd w:id="256"/>
            <w:bookmarkEnd w:id="257"/>
          </w:p>
        </w:tc>
        <w:tc>
          <w:tcPr>
            <w:tcW w:w="3491" w:type="dxa"/>
            <w:vAlign w:val="center"/>
          </w:tcPr>
          <w:p>
            <w:pPr>
              <w:widowControl/>
              <w:spacing w:line="0" w:lineRule="atLeast"/>
              <w:jc w:val="both"/>
              <w:outlineLvl w:val="0"/>
              <w:rPr>
                <w:rFonts w:ascii="宋体" w:hAnsi="宋体" w:cs="宋体"/>
                <w:kern w:val="0"/>
                <w:szCs w:val="21"/>
              </w:rPr>
            </w:pPr>
            <w:bookmarkStart w:id="258" w:name="_Toc8114"/>
            <w:bookmarkStart w:id="259" w:name="_Toc4664"/>
            <w:bookmarkStart w:id="260" w:name="_Toc11312"/>
            <w:r>
              <w:rPr>
                <w:rFonts w:hint="eastAsia" w:ascii="宋体" w:hAnsi="宋体"/>
                <w:szCs w:val="21"/>
              </w:rPr>
              <w:t>课程以职场交际为目标，以应用为目的，培养学生英语语言的实际应用能力。通过本课程的学习，使学生掌握基础的英语语言、文化知识和技能，具备一定的听、说、读、写、译的能力；能在日常活动和与未来职业相关的业务活动中进行一般的口头和书面交流；使学生了解中西方文化之间的差异，提高跨文化交际能力；掌握有效的学习方法，增强自主学习能力，为提升今后的就业竞争力及可持续发展能力打下良好基础。</w:t>
            </w:r>
            <w:bookmarkEnd w:id="258"/>
            <w:bookmarkEnd w:id="259"/>
            <w:bookmarkEnd w:id="2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261" w:name="_Toc15105"/>
            <w:bookmarkStart w:id="262" w:name="_Toc14858"/>
            <w:bookmarkStart w:id="263" w:name="_Toc32434"/>
            <w:r>
              <w:rPr>
                <w:rFonts w:ascii="宋体" w:hAnsi="宋体" w:cs="宋体"/>
                <w:kern w:val="0"/>
                <w:szCs w:val="21"/>
              </w:rPr>
              <w:t>1</w:t>
            </w:r>
            <w:r>
              <w:rPr>
                <w:rFonts w:hint="eastAsia" w:ascii="宋体" w:hAnsi="宋体" w:cs="宋体"/>
                <w:kern w:val="0"/>
                <w:szCs w:val="21"/>
                <w:lang w:val="en-US" w:eastAsia="zh-CN"/>
              </w:rPr>
              <w:t>6</w:t>
            </w:r>
            <w:bookmarkEnd w:id="261"/>
            <w:bookmarkEnd w:id="262"/>
            <w:bookmarkEnd w:id="263"/>
          </w:p>
        </w:tc>
        <w:tc>
          <w:tcPr>
            <w:tcW w:w="748" w:type="dxa"/>
            <w:vAlign w:val="center"/>
          </w:tcPr>
          <w:p>
            <w:pPr>
              <w:widowControl/>
              <w:spacing w:line="0" w:lineRule="atLeast"/>
              <w:jc w:val="both"/>
              <w:outlineLvl w:val="0"/>
              <w:rPr>
                <w:rFonts w:ascii="宋体" w:hAnsi="宋体"/>
                <w:szCs w:val="21"/>
              </w:rPr>
            </w:pPr>
            <w:bookmarkStart w:id="264" w:name="_Toc26575"/>
            <w:bookmarkStart w:id="265" w:name="_Toc14826"/>
            <w:bookmarkStart w:id="266" w:name="_Toc17112"/>
            <w:r>
              <w:rPr>
                <w:rFonts w:hint="eastAsia" w:ascii="宋体" w:hAnsi="宋体"/>
                <w:szCs w:val="21"/>
              </w:rPr>
              <w:t>高职数学</w:t>
            </w:r>
            <w:bookmarkEnd w:id="264"/>
            <w:bookmarkEnd w:id="265"/>
            <w:bookmarkEnd w:id="266"/>
          </w:p>
        </w:tc>
        <w:tc>
          <w:tcPr>
            <w:tcW w:w="406" w:type="dxa"/>
            <w:vAlign w:val="center"/>
          </w:tcPr>
          <w:p>
            <w:pPr>
              <w:widowControl/>
              <w:spacing w:line="0" w:lineRule="atLeast"/>
              <w:jc w:val="both"/>
              <w:outlineLvl w:val="0"/>
              <w:rPr>
                <w:rFonts w:ascii="宋体" w:hAnsi="宋体" w:cs="宋体"/>
                <w:kern w:val="0"/>
                <w:szCs w:val="21"/>
              </w:rPr>
            </w:pPr>
            <w:bookmarkStart w:id="267" w:name="_Toc28455"/>
            <w:bookmarkStart w:id="268" w:name="_Toc4660"/>
            <w:bookmarkStart w:id="269" w:name="_Toc18135"/>
            <w:r>
              <w:rPr>
                <w:rFonts w:hint="eastAsia" w:ascii="宋体" w:hAnsi="宋体" w:cs="宋体"/>
                <w:kern w:val="0"/>
                <w:szCs w:val="21"/>
              </w:rPr>
              <w:t>公共基础限选课</w:t>
            </w:r>
            <w:bookmarkEnd w:id="267"/>
            <w:bookmarkEnd w:id="268"/>
            <w:bookmarkEnd w:id="269"/>
          </w:p>
        </w:tc>
        <w:tc>
          <w:tcPr>
            <w:tcW w:w="3886" w:type="dxa"/>
            <w:vAlign w:val="center"/>
          </w:tcPr>
          <w:p>
            <w:pPr>
              <w:widowControl/>
              <w:spacing w:line="0" w:lineRule="atLeast"/>
              <w:jc w:val="both"/>
              <w:outlineLvl w:val="0"/>
              <w:rPr>
                <w:rFonts w:ascii="宋体" w:hAnsi="宋体" w:cs="宋体"/>
                <w:kern w:val="0"/>
                <w:szCs w:val="21"/>
              </w:rPr>
            </w:pPr>
            <w:bookmarkStart w:id="270" w:name="_Toc20997"/>
            <w:bookmarkStart w:id="271" w:name="_Toc1987"/>
            <w:bookmarkStart w:id="272" w:name="_Toc32565"/>
            <w:r>
              <w:rPr>
                <w:rFonts w:hint="eastAsia" w:ascii="宋体" w:hAnsi="宋体"/>
                <w:szCs w:val="21"/>
              </w:rPr>
              <w:t>常见几何体面积和体积的计算，单利、复利和年金的计算，函数的极限与连续，函数的导数与微分等。</w:t>
            </w:r>
            <w:bookmarkEnd w:id="270"/>
            <w:bookmarkEnd w:id="271"/>
            <w:bookmarkEnd w:id="272"/>
          </w:p>
        </w:tc>
        <w:tc>
          <w:tcPr>
            <w:tcW w:w="3491" w:type="dxa"/>
            <w:vAlign w:val="center"/>
          </w:tcPr>
          <w:p>
            <w:pPr>
              <w:widowControl/>
              <w:spacing w:line="0" w:lineRule="atLeast"/>
              <w:jc w:val="both"/>
              <w:outlineLvl w:val="0"/>
              <w:rPr>
                <w:rFonts w:ascii="宋体" w:hAnsi="宋体" w:cs="宋体"/>
                <w:kern w:val="0"/>
                <w:szCs w:val="21"/>
              </w:rPr>
            </w:pPr>
            <w:bookmarkStart w:id="273" w:name="_Toc6180"/>
            <w:bookmarkStart w:id="274" w:name="_Toc22850"/>
            <w:bookmarkStart w:id="275" w:name="_Toc10234"/>
            <w:r>
              <w:rPr>
                <w:rFonts w:hint="eastAsia" w:ascii="宋体" w:hAnsi="宋体"/>
                <w:szCs w:val="21"/>
              </w:rPr>
              <w:t>培养学生的运算能力，提高学生的数学素养。掌握多面体和旋转体面积、体积的计算，单利、复利和年金的计算，会判断函数的连续性，会求常见函数的极限、导数和微分，能利用导数解决一些简单的实际问题。</w:t>
            </w:r>
            <w:bookmarkEnd w:id="273"/>
            <w:bookmarkEnd w:id="274"/>
            <w:bookmarkEnd w:id="2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276" w:name="_Toc11596"/>
            <w:bookmarkStart w:id="277" w:name="_Toc1525"/>
            <w:bookmarkStart w:id="278" w:name="_Toc6973"/>
            <w:r>
              <w:rPr>
                <w:rFonts w:ascii="宋体" w:hAnsi="宋体" w:cs="宋体"/>
                <w:kern w:val="0"/>
                <w:szCs w:val="21"/>
              </w:rPr>
              <w:t>1</w:t>
            </w:r>
            <w:r>
              <w:rPr>
                <w:rFonts w:hint="eastAsia" w:ascii="宋体" w:hAnsi="宋体" w:cs="宋体"/>
                <w:kern w:val="0"/>
                <w:szCs w:val="21"/>
                <w:lang w:val="en-US" w:eastAsia="zh-CN"/>
              </w:rPr>
              <w:t>7</w:t>
            </w:r>
            <w:bookmarkEnd w:id="276"/>
            <w:bookmarkEnd w:id="277"/>
            <w:bookmarkEnd w:id="278"/>
          </w:p>
        </w:tc>
        <w:tc>
          <w:tcPr>
            <w:tcW w:w="748" w:type="dxa"/>
            <w:vAlign w:val="center"/>
          </w:tcPr>
          <w:p>
            <w:pPr>
              <w:widowControl/>
              <w:spacing w:line="0" w:lineRule="atLeast"/>
              <w:jc w:val="both"/>
              <w:outlineLvl w:val="0"/>
              <w:rPr>
                <w:rFonts w:ascii="宋体" w:hAnsi="宋体"/>
                <w:szCs w:val="21"/>
              </w:rPr>
            </w:pPr>
            <w:bookmarkStart w:id="279" w:name="_Toc23606"/>
            <w:bookmarkStart w:id="280" w:name="_Toc13622"/>
            <w:bookmarkStart w:id="281" w:name="_Toc3883"/>
            <w:r>
              <w:rPr>
                <w:rFonts w:hint="eastAsia" w:ascii="宋体" w:hAnsi="宋体"/>
                <w:szCs w:val="21"/>
              </w:rPr>
              <w:t>高职计算机应用基础</w:t>
            </w:r>
            <w:bookmarkEnd w:id="279"/>
            <w:bookmarkEnd w:id="280"/>
            <w:bookmarkEnd w:id="281"/>
          </w:p>
        </w:tc>
        <w:tc>
          <w:tcPr>
            <w:tcW w:w="406" w:type="dxa"/>
            <w:vAlign w:val="center"/>
          </w:tcPr>
          <w:p>
            <w:pPr>
              <w:widowControl/>
              <w:spacing w:line="0" w:lineRule="atLeast"/>
              <w:jc w:val="both"/>
              <w:outlineLvl w:val="0"/>
              <w:rPr>
                <w:rFonts w:ascii="宋体" w:hAnsi="宋体" w:cs="宋体"/>
                <w:kern w:val="0"/>
                <w:szCs w:val="21"/>
              </w:rPr>
            </w:pPr>
            <w:bookmarkStart w:id="282" w:name="_Toc21889"/>
            <w:bookmarkStart w:id="283" w:name="_Toc31890"/>
            <w:bookmarkStart w:id="284" w:name="_Toc18156"/>
            <w:r>
              <w:rPr>
                <w:rFonts w:hint="eastAsia" w:ascii="宋体" w:hAnsi="宋体" w:cs="宋体"/>
                <w:kern w:val="0"/>
                <w:szCs w:val="21"/>
              </w:rPr>
              <w:t>公共基础限选课</w:t>
            </w:r>
            <w:bookmarkEnd w:id="282"/>
            <w:bookmarkEnd w:id="283"/>
            <w:bookmarkEnd w:id="284"/>
          </w:p>
        </w:tc>
        <w:tc>
          <w:tcPr>
            <w:tcW w:w="3886" w:type="dxa"/>
            <w:vAlign w:val="center"/>
          </w:tcPr>
          <w:p>
            <w:pPr>
              <w:widowControl/>
              <w:spacing w:line="0" w:lineRule="atLeast"/>
              <w:jc w:val="both"/>
              <w:outlineLvl w:val="0"/>
              <w:rPr>
                <w:rFonts w:ascii="宋体" w:hAnsi="宋体" w:cs="宋体"/>
                <w:kern w:val="0"/>
                <w:szCs w:val="21"/>
              </w:rPr>
            </w:pPr>
            <w:bookmarkStart w:id="285" w:name="_Toc9207"/>
            <w:bookmarkStart w:id="286" w:name="_Toc1943"/>
            <w:bookmarkStart w:id="287" w:name="_Toc12027"/>
            <w:r>
              <w:rPr>
                <w:rFonts w:hint="eastAsia" w:ascii="宋体" w:hAnsi="宋体" w:cs="宋体"/>
                <w:kern w:val="0"/>
                <w:szCs w:val="21"/>
              </w:rPr>
              <w:t>课程的教学内容主要围绕</w:t>
            </w:r>
            <w:r>
              <w:rPr>
                <w:rFonts w:ascii="宋体" w:hAnsi="宋体" w:cs="宋体"/>
                <w:kern w:val="0"/>
                <w:szCs w:val="21"/>
              </w:rPr>
              <w:t>Office</w:t>
            </w:r>
            <w:r>
              <w:rPr>
                <w:rFonts w:hint="eastAsia" w:ascii="宋体" w:hAnsi="宋体" w:cs="宋体"/>
                <w:kern w:val="0"/>
                <w:szCs w:val="21"/>
              </w:rPr>
              <w:t>办公软件展开，分为“计算机基础知识和</w:t>
            </w:r>
            <w:r>
              <w:rPr>
                <w:rFonts w:ascii="宋体" w:hAnsi="宋体" w:cs="宋体"/>
                <w:kern w:val="0"/>
                <w:szCs w:val="21"/>
              </w:rPr>
              <w:t>Windows 7</w:t>
            </w:r>
            <w:r>
              <w:rPr>
                <w:rFonts w:hint="eastAsia" w:ascii="宋体" w:hAnsi="宋体" w:cs="宋体"/>
                <w:kern w:val="0"/>
                <w:szCs w:val="21"/>
              </w:rPr>
              <w:t>操作系统”、“</w:t>
            </w:r>
            <w:r>
              <w:rPr>
                <w:rFonts w:ascii="宋体" w:hAnsi="宋体" w:cs="宋体"/>
                <w:kern w:val="0"/>
                <w:szCs w:val="21"/>
              </w:rPr>
              <w:t>Word</w:t>
            </w:r>
            <w:r>
              <w:rPr>
                <w:rFonts w:hint="eastAsia" w:ascii="宋体" w:hAnsi="宋体" w:cs="宋体"/>
                <w:kern w:val="0"/>
                <w:szCs w:val="21"/>
              </w:rPr>
              <w:t>文字处理”、</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Excel</w:t>
            </w:r>
            <w:r>
              <w:rPr>
                <w:rFonts w:hint="eastAsia" w:ascii="宋体" w:hAnsi="宋体" w:cs="宋体"/>
                <w:kern w:val="0"/>
                <w:szCs w:val="21"/>
              </w:rPr>
              <w:t>电子表格处理”</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PowerPoint</w:t>
            </w:r>
            <w:r>
              <w:rPr>
                <w:rFonts w:hint="eastAsia" w:ascii="宋体" w:hAnsi="宋体" w:cs="宋体"/>
                <w:kern w:val="0"/>
                <w:szCs w:val="21"/>
              </w:rPr>
              <w:t>演示文稿制作”</w:t>
            </w:r>
            <w:r>
              <w:rPr>
                <w:rFonts w:ascii="宋体" w:hAnsi="宋体" w:cs="宋体"/>
                <w:kern w:val="0"/>
                <w:szCs w:val="21"/>
              </w:rPr>
              <w:t xml:space="preserve"> </w:t>
            </w:r>
            <w:r>
              <w:rPr>
                <w:rFonts w:hint="eastAsia" w:ascii="宋体" w:hAnsi="宋体" w:cs="宋体"/>
                <w:kern w:val="0"/>
                <w:szCs w:val="21"/>
              </w:rPr>
              <w:t>及“计算机网络基础及信息相关知识”五个模块，主要培养学生使用</w:t>
            </w:r>
            <w:r>
              <w:rPr>
                <w:rFonts w:ascii="宋体" w:hAnsi="宋体" w:cs="宋体"/>
                <w:kern w:val="0"/>
                <w:szCs w:val="21"/>
              </w:rPr>
              <w:t>Word</w:t>
            </w:r>
            <w:r>
              <w:rPr>
                <w:rFonts w:hint="eastAsia" w:ascii="宋体" w:hAnsi="宋体" w:cs="宋体"/>
                <w:kern w:val="0"/>
                <w:szCs w:val="21"/>
              </w:rPr>
              <w:t>文字处理软件、</w:t>
            </w:r>
            <w:r>
              <w:rPr>
                <w:rFonts w:ascii="宋体" w:hAnsi="宋体" w:cs="宋体"/>
                <w:kern w:val="0"/>
                <w:szCs w:val="21"/>
              </w:rPr>
              <w:t>Excel</w:t>
            </w:r>
            <w:r>
              <w:rPr>
                <w:rFonts w:hint="eastAsia" w:ascii="宋体" w:hAnsi="宋体" w:cs="宋体"/>
                <w:kern w:val="0"/>
                <w:szCs w:val="21"/>
              </w:rPr>
              <w:t>电子表格、</w:t>
            </w:r>
            <w:r>
              <w:rPr>
                <w:rFonts w:ascii="宋体" w:hAnsi="宋体" w:cs="宋体"/>
                <w:kern w:val="0"/>
                <w:szCs w:val="21"/>
              </w:rPr>
              <w:t>PowerPoint</w:t>
            </w:r>
            <w:r>
              <w:rPr>
                <w:rFonts w:hint="eastAsia" w:ascii="宋体" w:hAnsi="宋体" w:cs="宋体"/>
                <w:kern w:val="0"/>
                <w:szCs w:val="21"/>
              </w:rPr>
              <w:t>制作演示文稿的能力，使学生具有使用计算机解决实际问题的能力，为学生使用计算机学习专业课，且为学生考取浙江省高校计算机一级证书打下基础。</w:t>
            </w:r>
            <w:bookmarkEnd w:id="285"/>
            <w:bookmarkEnd w:id="286"/>
            <w:bookmarkEnd w:id="287"/>
          </w:p>
        </w:tc>
        <w:tc>
          <w:tcPr>
            <w:tcW w:w="3491" w:type="dxa"/>
            <w:vAlign w:val="center"/>
          </w:tcPr>
          <w:p>
            <w:pPr>
              <w:widowControl/>
              <w:spacing w:line="0" w:lineRule="atLeast"/>
              <w:jc w:val="both"/>
              <w:outlineLvl w:val="0"/>
              <w:rPr>
                <w:rFonts w:ascii="宋体" w:hAnsi="宋体" w:cs="宋体"/>
                <w:kern w:val="0"/>
                <w:szCs w:val="21"/>
              </w:rPr>
            </w:pPr>
            <w:bookmarkStart w:id="288" w:name="_Toc25664"/>
            <w:bookmarkStart w:id="289" w:name="_Toc25072"/>
            <w:bookmarkStart w:id="290" w:name="_Toc11014"/>
            <w:r>
              <w:rPr>
                <w:rFonts w:hint="eastAsia" w:ascii="宋体" w:hAnsi="宋体" w:cs="宋体"/>
                <w:kern w:val="0"/>
                <w:szCs w:val="21"/>
              </w:rPr>
              <w:t>紧紧以职业技术人才培养模式和等级考试为主导，以各专业对计算机的要求为基础，以</w:t>
            </w:r>
            <w:r>
              <w:rPr>
                <w:rFonts w:ascii="宋体" w:hAnsi="宋体" w:cs="宋体"/>
                <w:kern w:val="0"/>
                <w:szCs w:val="21"/>
              </w:rPr>
              <w:t>Office</w:t>
            </w:r>
            <w:r>
              <w:rPr>
                <w:rFonts w:hint="eastAsia" w:ascii="宋体" w:hAnsi="宋体" w:cs="宋体"/>
                <w:kern w:val="0"/>
                <w:szCs w:val="21"/>
              </w:rPr>
              <w:t>办公软件应用为主线，以学生为主体，以项目和任务为载体，突出能力目标，构建“能力目标</w:t>
            </w:r>
            <w:r>
              <w:rPr>
                <w:rFonts w:ascii="宋体" w:hAnsi="宋体" w:cs="宋体"/>
                <w:kern w:val="0"/>
                <w:szCs w:val="21"/>
              </w:rPr>
              <w:t>+</w:t>
            </w:r>
            <w:r>
              <w:rPr>
                <w:rFonts w:hint="eastAsia" w:ascii="宋体" w:hAnsi="宋体" w:cs="宋体"/>
                <w:kern w:val="0"/>
                <w:szCs w:val="21"/>
              </w:rPr>
              <w:t>项目任务</w:t>
            </w:r>
            <w:r>
              <w:rPr>
                <w:rFonts w:ascii="宋体" w:hAnsi="宋体" w:cs="宋体"/>
                <w:kern w:val="0"/>
                <w:szCs w:val="21"/>
              </w:rPr>
              <w:t>+</w:t>
            </w:r>
            <w:r>
              <w:rPr>
                <w:rFonts w:hint="eastAsia" w:ascii="宋体" w:hAnsi="宋体" w:cs="宋体"/>
                <w:kern w:val="0"/>
                <w:szCs w:val="21"/>
              </w:rPr>
              <w:t>考试题库</w:t>
            </w:r>
            <w:r>
              <w:rPr>
                <w:rFonts w:ascii="宋体" w:hAnsi="宋体" w:cs="宋体"/>
                <w:kern w:val="0"/>
                <w:szCs w:val="21"/>
              </w:rPr>
              <w:t>+</w:t>
            </w:r>
            <w:r>
              <w:rPr>
                <w:rFonts w:hint="eastAsia" w:ascii="宋体" w:hAnsi="宋体" w:cs="宋体"/>
                <w:kern w:val="0"/>
                <w:szCs w:val="21"/>
              </w:rPr>
              <w:t>理论知识”教学单元设计；采用分层分类教学、任务驱动、实例操作、理实一体的教学方法，设计“教、学、做”一体化的教学过程。围绕“能力提升”这一最终目标，在教学时边做边学和综合题库练习的教学过程中，学会解决实际问题的技能。</w:t>
            </w:r>
            <w:bookmarkEnd w:id="288"/>
            <w:bookmarkEnd w:id="289"/>
            <w:bookmarkEnd w:id="2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eastAsia" w:ascii="宋体" w:hAnsi="宋体" w:eastAsia="宋体" w:cs="宋体"/>
                <w:kern w:val="0"/>
                <w:sz w:val="21"/>
                <w:szCs w:val="21"/>
                <w:lang w:val="en-US" w:eastAsia="zh-CN" w:bidi="ar-SA"/>
              </w:rPr>
            </w:pPr>
            <w:bookmarkStart w:id="291" w:name="_Toc20564"/>
            <w:bookmarkStart w:id="292" w:name="_Toc17563"/>
            <w:bookmarkStart w:id="293" w:name="_Toc13232"/>
            <w:r>
              <w:rPr>
                <w:rFonts w:ascii="宋体" w:hAnsi="宋体" w:cs="宋体"/>
                <w:kern w:val="0"/>
                <w:szCs w:val="21"/>
              </w:rPr>
              <w:t>1</w:t>
            </w:r>
            <w:r>
              <w:rPr>
                <w:rFonts w:hint="eastAsia" w:ascii="宋体" w:hAnsi="宋体" w:cs="宋体"/>
                <w:kern w:val="0"/>
                <w:szCs w:val="21"/>
                <w:lang w:val="en-US" w:eastAsia="zh-CN"/>
              </w:rPr>
              <w:t>8</w:t>
            </w:r>
            <w:bookmarkEnd w:id="291"/>
            <w:bookmarkEnd w:id="292"/>
            <w:bookmarkEnd w:id="293"/>
          </w:p>
        </w:tc>
        <w:tc>
          <w:tcPr>
            <w:tcW w:w="748" w:type="dxa"/>
            <w:vAlign w:val="center"/>
          </w:tcPr>
          <w:p>
            <w:pPr>
              <w:widowControl/>
              <w:spacing w:line="0" w:lineRule="atLeast"/>
              <w:jc w:val="both"/>
              <w:outlineLvl w:val="0"/>
              <w:rPr>
                <w:rFonts w:ascii="宋体" w:hAnsi="宋体"/>
                <w:szCs w:val="21"/>
              </w:rPr>
            </w:pPr>
            <w:bookmarkStart w:id="294" w:name="_Toc13694"/>
            <w:bookmarkStart w:id="295" w:name="_Toc23461"/>
            <w:bookmarkStart w:id="296" w:name="_Toc5894"/>
            <w:r>
              <w:rPr>
                <w:rFonts w:hint="eastAsia" w:ascii="宋体" w:hAnsi="宋体"/>
                <w:szCs w:val="21"/>
              </w:rPr>
              <w:t>高职语文</w:t>
            </w:r>
            <w:bookmarkEnd w:id="294"/>
            <w:bookmarkEnd w:id="295"/>
            <w:bookmarkEnd w:id="296"/>
          </w:p>
        </w:tc>
        <w:tc>
          <w:tcPr>
            <w:tcW w:w="406" w:type="dxa"/>
            <w:vAlign w:val="center"/>
          </w:tcPr>
          <w:p>
            <w:pPr>
              <w:widowControl/>
              <w:spacing w:line="0" w:lineRule="atLeast"/>
              <w:jc w:val="both"/>
              <w:outlineLvl w:val="0"/>
              <w:rPr>
                <w:rFonts w:ascii="宋体" w:hAnsi="宋体" w:cs="宋体"/>
                <w:kern w:val="0"/>
                <w:szCs w:val="21"/>
              </w:rPr>
            </w:pPr>
            <w:bookmarkStart w:id="297" w:name="_Toc14655"/>
            <w:bookmarkStart w:id="298" w:name="_Toc23768"/>
            <w:bookmarkStart w:id="299" w:name="_Toc23029"/>
            <w:r>
              <w:rPr>
                <w:rFonts w:hint="eastAsia" w:ascii="宋体" w:hAnsi="宋体" w:cs="宋体"/>
                <w:kern w:val="0"/>
                <w:szCs w:val="21"/>
              </w:rPr>
              <w:t>公共基础限选课</w:t>
            </w:r>
            <w:bookmarkEnd w:id="297"/>
            <w:bookmarkEnd w:id="298"/>
            <w:bookmarkEnd w:id="299"/>
          </w:p>
        </w:tc>
        <w:tc>
          <w:tcPr>
            <w:tcW w:w="3886" w:type="dxa"/>
            <w:vAlign w:val="center"/>
          </w:tcPr>
          <w:p>
            <w:pPr>
              <w:widowControl/>
              <w:spacing w:line="0" w:lineRule="atLeast"/>
              <w:jc w:val="both"/>
              <w:outlineLvl w:val="0"/>
              <w:rPr>
                <w:rFonts w:ascii="宋体" w:hAnsi="宋体" w:cs="宋体"/>
                <w:kern w:val="0"/>
                <w:szCs w:val="21"/>
              </w:rPr>
            </w:pPr>
            <w:bookmarkStart w:id="300" w:name="_Toc17899"/>
            <w:bookmarkStart w:id="301" w:name="_Toc15354"/>
            <w:bookmarkStart w:id="302" w:name="_Toc23425"/>
            <w:r>
              <w:rPr>
                <w:rFonts w:hint="eastAsia" w:ascii="宋体" w:hAnsi="宋体"/>
                <w:szCs w:val="21"/>
              </w:rPr>
              <w:t>按照“文字与书法”、“语言与交际”、“课文解读”、“应用写作”四个模块，采用“练”、“说”、“读”、“写”四种方法，培养学生文字书写能力，口头表达能力，阅读欣赏能力和应用文写作能力。</w:t>
            </w:r>
            <w:bookmarkEnd w:id="300"/>
            <w:bookmarkEnd w:id="301"/>
            <w:bookmarkEnd w:id="302"/>
          </w:p>
        </w:tc>
        <w:tc>
          <w:tcPr>
            <w:tcW w:w="3491" w:type="dxa"/>
            <w:vAlign w:val="center"/>
          </w:tcPr>
          <w:p>
            <w:pPr>
              <w:widowControl/>
              <w:spacing w:line="0" w:lineRule="atLeast"/>
              <w:jc w:val="both"/>
              <w:outlineLvl w:val="0"/>
              <w:rPr>
                <w:rFonts w:ascii="宋体" w:hAnsi="宋体" w:cs="宋体"/>
                <w:kern w:val="0"/>
                <w:szCs w:val="21"/>
              </w:rPr>
            </w:pPr>
            <w:bookmarkStart w:id="303" w:name="_Toc782"/>
            <w:bookmarkStart w:id="304" w:name="_Toc5460"/>
            <w:bookmarkStart w:id="305" w:name="_Toc1091"/>
            <w:r>
              <w:rPr>
                <w:rFonts w:hint="eastAsia" w:ascii="宋体" w:hAnsi="宋体"/>
                <w:szCs w:val="21"/>
              </w:rPr>
              <w:t>结合专业特点，全面提高学生的语文知识，尤其要突出语文应用能力的培养与训练，在知识传授和能力训练的同时，又兼重学生人文素养和职业素养的提高和健全人格的塑造。</w:t>
            </w:r>
            <w:bookmarkEnd w:id="303"/>
            <w:bookmarkEnd w:id="304"/>
            <w:bookmarkEnd w:id="3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widowControl/>
              <w:spacing w:line="0" w:lineRule="atLeast"/>
              <w:jc w:val="both"/>
              <w:outlineLvl w:val="0"/>
              <w:rPr>
                <w:rFonts w:hint="default" w:ascii="宋体" w:hAnsi="宋体" w:eastAsia="宋体" w:cs="宋体"/>
                <w:kern w:val="0"/>
                <w:szCs w:val="21"/>
                <w:lang w:val="en-US" w:eastAsia="zh-CN"/>
              </w:rPr>
            </w:pPr>
            <w:bookmarkStart w:id="306" w:name="_Toc24930"/>
            <w:bookmarkStart w:id="307" w:name="_Toc2105"/>
            <w:bookmarkStart w:id="308" w:name="_Toc7289"/>
            <w:r>
              <w:rPr>
                <w:rFonts w:hint="eastAsia" w:ascii="宋体" w:hAnsi="宋体" w:cs="宋体"/>
                <w:kern w:val="0"/>
                <w:szCs w:val="21"/>
                <w:lang w:val="en-US" w:eastAsia="zh-CN"/>
              </w:rPr>
              <w:t>19</w:t>
            </w:r>
            <w:bookmarkEnd w:id="306"/>
            <w:bookmarkEnd w:id="307"/>
            <w:bookmarkEnd w:id="308"/>
          </w:p>
        </w:tc>
        <w:tc>
          <w:tcPr>
            <w:tcW w:w="748" w:type="dxa"/>
            <w:vAlign w:val="center"/>
          </w:tcPr>
          <w:p>
            <w:pPr>
              <w:widowControl/>
              <w:spacing w:line="0" w:lineRule="atLeast"/>
              <w:jc w:val="both"/>
              <w:outlineLvl w:val="0"/>
              <w:rPr>
                <w:rFonts w:ascii="宋体" w:hAnsi="宋体"/>
                <w:szCs w:val="21"/>
              </w:rPr>
            </w:pPr>
            <w:bookmarkStart w:id="309" w:name="_Toc1948"/>
            <w:bookmarkStart w:id="310" w:name="_Toc18722"/>
            <w:bookmarkStart w:id="311" w:name="_Toc3156"/>
            <w:r>
              <w:rPr>
                <w:rFonts w:hint="eastAsia" w:ascii="宋体" w:hAnsi="宋体"/>
                <w:szCs w:val="21"/>
              </w:rPr>
              <w:t>劳动、社团、公益活动等</w:t>
            </w:r>
            <w:bookmarkEnd w:id="309"/>
            <w:bookmarkEnd w:id="310"/>
            <w:bookmarkEnd w:id="311"/>
          </w:p>
        </w:tc>
        <w:tc>
          <w:tcPr>
            <w:tcW w:w="406" w:type="dxa"/>
            <w:vAlign w:val="center"/>
          </w:tcPr>
          <w:p>
            <w:pPr>
              <w:widowControl/>
              <w:spacing w:line="0" w:lineRule="atLeast"/>
              <w:jc w:val="both"/>
              <w:outlineLvl w:val="0"/>
              <w:rPr>
                <w:rFonts w:ascii="宋体" w:hAnsi="宋体" w:cs="宋体"/>
                <w:kern w:val="0"/>
                <w:szCs w:val="21"/>
              </w:rPr>
            </w:pPr>
            <w:bookmarkStart w:id="312" w:name="_Toc2555"/>
            <w:bookmarkStart w:id="313" w:name="_Toc13904"/>
            <w:bookmarkStart w:id="314" w:name="_Toc889"/>
            <w:r>
              <w:rPr>
                <w:rFonts w:hint="eastAsia" w:ascii="宋体" w:hAnsi="宋体" w:cs="宋体"/>
                <w:kern w:val="0"/>
                <w:szCs w:val="21"/>
              </w:rPr>
              <w:t>公共基础限选课</w:t>
            </w:r>
            <w:bookmarkEnd w:id="312"/>
            <w:bookmarkEnd w:id="313"/>
            <w:bookmarkEnd w:id="314"/>
          </w:p>
        </w:tc>
        <w:tc>
          <w:tcPr>
            <w:tcW w:w="3886" w:type="dxa"/>
            <w:vAlign w:val="center"/>
          </w:tcPr>
          <w:p>
            <w:pPr>
              <w:autoSpaceDE w:val="0"/>
              <w:autoSpaceDN w:val="0"/>
              <w:adjustRightInd w:val="0"/>
              <w:spacing w:line="0" w:lineRule="atLeast"/>
              <w:jc w:val="both"/>
              <w:rPr>
                <w:rFonts w:ascii="宋体" w:hAnsi="宋体" w:cs="宋体"/>
                <w:kern w:val="0"/>
                <w:szCs w:val="21"/>
              </w:rPr>
            </w:pPr>
            <w:r>
              <w:rPr>
                <w:rFonts w:hint="eastAsia" w:ascii="宋体" w:hAnsi="宋体" w:cs="宋体"/>
                <w:kern w:val="0"/>
                <w:szCs w:val="21"/>
              </w:rPr>
              <w:t>结合学校、环境、专业等因素，组织学生参加的各类社团、劳动和公益服务等实践活动，开展劳动观教育、团队意识教育、社会责任教育、劳动技能教育等。</w:t>
            </w:r>
          </w:p>
          <w:p>
            <w:pPr>
              <w:widowControl/>
              <w:spacing w:line="0" w:lineRule="atLeast"/>
              <w:jc w:val="both"/>
              <w:outlineLvl w:val="9"/>
              <w:rPr>
                <w:rFonts w:ascii="宋体" w:hAnsi="宋体" w:cs="宋体"/>
                <w:kern w:val="0"/>
                <w:szCs w:val="21"/>
              </w:rPr>
            </w:pPr>
          </w:p>
        </w:tc>
        <w:tc>
          <w:tcPr>
            <w:tcW w:w="3491" w:type="dxa"/>
            <w:vAlign w:val="center"/>
          </w:tcPr>
          <w:p>
            <w:pPr>
              <w:widowControl/>
              <w:spacing w:line="0" w:lineRule="atLeast"/>
              <w:jc w:val="both"/>
              <w:outlineLvl w:val="0"/>
              <w:rPr>
                <w:rFonts w:ascii="宋体" w:hAnsi="宋体" w:cs="宋体"/>
                <w:kern w:val="0"/>
                <w:szCs w:val="21"/>
              </w:rPr>
            </w:pPr>
            <w:bookmarkStart w:id="315" w:name="_Toc14761"/>
            <w:bookmarkStart w:id="316" w:name="_Toc10488"/>
            <w:bookmarkStart w:id="317" w:name="_Toc14682"/>
            <w:r>
              <w:rPr>
                <w:rFonts w:hint="eastAsia" w:ascii="宋体" w:hAnsi="宋体" w:cs="宋体"/>
                <w:kern w:val="0"/>
                <w:szCs w:val="21"/>
              </w:rPr>
              <w:t>对学生进行劳动教育，使教育与生产劳动相结合，使大学生能够更好地贯彻理论联系实际的原则，扩大知识面，增强工作责任感，团队意识，公益意识，促进学生全面健康地成长。</w:t>
            </w:r>
            <w:bookmarkEnd w:id="315"/>
            <w:bookmarkEnd w:id="316"/>
            <w:bookmarkEnd w:id="317"/>
          </w:p>
        </w:tc>
      </w:tr>
    </w:tbl>
    <w:p>
      <w:pPr>
        <w:keepNext w:val="0"/>
        <w:keepLines w:val="0"/>
        <w:pageBreakBefore w:val="0"/>
        <w:widowControl/>
        <w:tabs>
          <w:tab w:val="left" w:pos="757"/>
        </w:tabs>
        <w:kinsoku/>
        <w:wordWrap/>
        <w:overflowPunct/>
        <w:topLinePunct w:val="0"/>
        <w:autoSpaceDE/>
        <w:autoSpaceDN/>
        <w:bidi w:val="0"/>
        <w:adjustRightInd/>
        <w:snapToGrid/>
        <w:spacing w:line="240" w:lineRule="auto"/>
        <w:textAlignment w:val="auto"/>
        <w:outlineLvl w:val="0"/>
        <w:rPr>
          <w:rFonts w:ascii="宋体" w:hAnsi="宋体"/>
          <w:sz w:val="24"/>
        </w:rPr>
      </w:pPr>
      <w:bookmarkStart w:id="318" w:name="_Toc1138"/>
      <w:bookmarkStart w:id="319" w:name="_Toc1177"/>
      <w:bookmarkStart w:id="320" w:name="_Toc14198"/>
      <w:r>
        <w:rPr>
          <w:rFonts w:hint="eastAsia" w:ascii="宋体" w:hAnsi="宋体"/>
          <w:b/>
          <w:bCs/>
          <w:szCs w:val="21"/>
        </w:rPr>
        <w:t>备注</w:t>
      </w:r>
      <w:r>
        <w:rPr>
          <w:rFonts w:ascii="宋体" w:hAnsi="宋体"/>
          <w:b/>
          <w:bCs/>
          <w:szCs w:val="21"/>
        </w:rPr>
        <w:t>：</w:t>
      </w:r>
      <w:r>
        <w:rPr>
          <w:rFonts w:hint="eastAsia" w:ascii="宋体" w:hAnsi="宋体"/>
          <w:szCs w:val="21"/>
        </w:rPr>
        <w:t>（1）公共基础必修课、限选课由基础部、社科部、公体部根据课程所属完成表中信息填写。（2）全</w:t>
      </w:r>
      <w:r>
        <w:rPr>
          <w:rFonts w:hint="eastAsia" w:ascii="宋体" w:hAnsi="宋体"/>
          <w:szCs w:val="21"/>
          <w:lang w:val="en-US" w:eastAsia="zh-CN"/>
        </w:rPr>
        <w:t>校</w:t>
      </w:r>
      <w:r>
        <w:rPr>
          <w:rFonts w:ascii="宋体" w:hAnsi="宋体"/>
          <w:szCs w:val="21"/>
        </w:rPr>
        <w:t>性</w:t>
      </w:r>
      <w:r>
        <w:rPr>
          <w:rFonts w:hint="eastAsia" w:ascii="宋体" w:hAnsi="宋体"/>
          <w:szCs w:val="21"/>
        </w:rPr>
        <w:t>公共基础任选课由基础部负责制定，单独成表，不列入专业人才培养方案。</w:t>
      </w:r>
      <w:bookmarkEnd w:id="318"/>
      <w:bookmarkEnd w:id="319"/>
      <w:bookmarkEnd w:id="320"/>
    </w:p>
    <w:p>
      <w:pPr>
        <w:pStyle w:val="3"/>
        <w:bidi w:val="0"/>
        <w:ind w:firstLine="880"/>
        <w:rPr>
          <w:rFonts w:hint="eastAsia" w:ascii="Arial" w:hAnsi="Arial" w:eastAsia="宋体" w:cs="Times New Roman"/>
          <w:lang w:val="en-US" w:eastAsia="zh-CN"/>
        </w:rPr>
      </w:pPr>
      <w:bookmarkStart w:id="321" w:name="_Toc28766"/>
      <w:bookmarkStart w:id="322" w:name="_Toc18647"/>
      <w:r>
        <w:rPr>
          <w:rFonts w:hint="eastAsia" w:ascii="Arial" w:hAnsi="Arial" w:eastAsia="宋体" w:cs="Times New Roman"/>
          <w:lang w:val="en-US" w:eastAsia="zh-CN"/>
        </w:rPr>
        <w:t>（二）专业(技能)课</w:t>
      </w:r>
      <w:bookmarkEnd w:id="321"/>
      <w:bookmarkEnd w:id="322"/>
    </w:p>
    <w:p>
      <w:pPr>
        <w:widowControl/>
        <w:spacing w:line="360" w:lineRule="auto"/>
        <w:ind w:firstLine="480" w:firstLineChars="200"/>
        <w:outlineLvl w:val="0"/>
        <w:rPr>
          <w:rFonts w:ascii="宋体" w:cs="宋体"/>
          <w:kern w:val="0"/>
          <w:sz w:val="24"/>
        </w:rPr>
      </w:pPr>
      <w:bookmarkStart w:id="323" w:name="_Toc23566"/>
      <w:bookmarkStart w:id="324" w:name="_Toc9411"/>
      <w:bookmarkStart w:id="325" w:name="_Toc28867"/>
      <w:r>
        <w:rPr>
          <w:rFonts w:hint="eastAsia" w:ascii="宋体" w:hAnsi="宋体" w:cs="宋体"/>
          <w:kern w:val="0"/>
          <w:sz w:val="24"/>
        </w:rPr>
        <w:t>专业</w:t>
      </w:r>
      <w:r>
        <w:rPr>
          <w:rFonts w:ascii="宋体" w:hAnsi="宋体" w:cs="宋体"/>
          <w:kern w:val="0"/>
          <w:sz w:val="24"/>
        </w:rPr>
        <w:t>(</w:t>
      </w:r>
      <w:r>
        <w:rPr>
          <w:rFonts w:hint="eastAsia" w:ascii="宋体" w:hAnsi="宋体" w:cs="宋体"/>
          <w:kern w:val="0"/>
          <w:sz w:val="24"/>
        </w:rPr>
        <w:t>技能</w:t>
      </w:r>
      <w:r>
        <w:rPr>
          <w:rFonts w:ascii="宋体" w:hAnsi="宋体" w:cs="宋体"/>
          <w:kern w:val="0"/>
          <w:sz w:val="24"/>
        </w:rPr>
        <w:t>)</w:t>
      </w:r>
      <w:r>
        <w:rPr>
          <w:rFonts w:hint="eastAsia" w:ascii="宋体" w:hAnsi="宋体" w:cs="宋体"/>
          <w:kern w:val="0"/>
          <w:sz w:val="24"/>
        </w:rPr>
        <w:t>课包括专业群平台课、专业基础课、专业课与专业拓展课（专业方向课）等，具体教学内容与要求如表</w:t>
      </w:r>
      <w:r>
        <w:rPr>
          <w:rFonts w:hint="eastAsia" w:ascii="宋体" w:hAnsi="宋体" w:cs="宋体"/>
          <w:kern w:val="0"/>
          <w:sz w:val="24"/>
          <w:lang w:val="en-US" w:eastAsia="zh-CN"/>
        </w:rPr>
        <w:t>4</w:t>
      </w:r>
      <w:r>
        <w:rPr>
          <w:rFonts w:hint="eastAsia" w:ascii="宋体" w:hAnsi="宋体" w:cs="宋体"/>
          <w:kern w:val="0"/>
          <w:sz w:val="24"/>
        </w:rPr>
        <w:t>所示。</w:t>
      </w:r>
      <w:bookmarkEnd w:id="323"/>
      <w:bookmarkEnd w:id="324"/>
      <w:bookmarkEnd w:id="325"/>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82"/>
        <w:jc w:val="center"/>
        <w:textAlignment w:val="baseline"/>
        <w:rPr>
          <w:rFonts w:hint="eastAsia" w:ascii="宋体" w:hAnsi="宋体" w:eastAsia="宋体" w:cs="Times New Roman"/>
          <w:b/>
          <w:bCs/>
          <w:kern w:val="2"/>
          <w:szCs w:val="22"/>
        </w:rPr>
      </w:pPr>
      <w:r>
        <w:rPr>
          <w:rFonts w:hint="eastAsia" w:ascii="宋体" w:hAnsi="宋体" w:eastAsia="宋体" w:cs="Times New Roman"/>
          <w:b/>
          <w:bCs/>
          <w:kern w:val="2"/>
          <w:szCs w:val="22"/>
        </w:rPr>
        <w:t xml:space="preserve">  表</w:t>
      </w:r>
      <w:r>
        <w:rPr>
          <w:rFonts w:hint="eastAsia" w:ascii="宋体" w:hAnsi="宋体" w:eastAsia="宋体" w:cs="Times New Roman"/>
          <w:b/>
          <w:bCs/>
          <w:kern w:val="2"/>
          <w:szCs w:val="22"/>
          <w:lang w:val="en-US" w:eastAsia="zh-CN"/>
        </w:rPr>
        <w:t>4</w:t>
      </w:r>
      <w:r>
        <w:rPr>
          <w:rFonts w:hint="eastAsia" w:ascii="宋体" w:hAnsi="宋体" w:eastAsia="宋体" w:cs="Times New Roman"/>
          <w:b/>
          <w:bCs/>
          <w:kern w:val="2"/>
          <w:szCs w:val="22"/>
        </w:rPr>
        <w:t xml:space="preserve"> 专业(技能)课的教学内容与要求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857"/>
        <w:gridCol w:w="680"/>
        <w:gridCol w:w="323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center"/>
              <w:outlineLvl w:val="0"/>
              <w:rPr>
                <w:rFonts w:ascii="宋体" w:cs="宋体"/>
                <w:b/>
                <w:bCs/>
                <w:kern w:val="0"/>
                <w:szCs w:val="21"/>
              </w:rPr>
            </w:pPr>
            <w:bookmarkStart w:id="326" w:name="_Toc7426"/>
            <w:bookmarkStart w:id="327" w:name="_Toc1382"/>
            <w:bookmarkStart w:id="328" w:name="_Toc10053"/>
            <w:r>
              <w:rPr>
                <w:rFonts w:hint="eastAsia" w:ascii="宋体" w:hAnsi="宋体" w:cs="宋体"/>
                <w:b/>
                <w:bCs/>
                <w:kern w:val="0"/>
                <w:szCs w:val="21"/>
              </w:rPr>
              <w:t>序号</w:t>
            </w:r>
            <w:bookmarkEnd w:id="326"/>
            <w:bookmarkEnd w:id="327"/>
            <w:bookmarkEnd w:id="328"/>
          </w:p>
        </w:tc>
        <w:tc>
          <w:tcPr>
            <w:tcW w:w="857" w:type="dxa"/>
            <w:vAlign w:val="center"/>
          </w:tcPr>
          <w:p>
            <w:pPr>
              <w:widowControl/>
              <w:jc w:val="center"/>
              <w:outlineLvl w:val="0"/>
              <w:rPr>
                <w:rFonts w:ascii="宋体" w:cs="宋体"/>
                <w:b/>
                <w:bCs/>
                <w:kern w:val="0"/>
                <w:szCs w:val="21"/>
              </w:rPr>
            </w:pPr>
            <w:bookmarkStart w:id="329" w:name="_Toc29632"/>
            <w:bookmarkStart w:id="330" w:name="_Toc31543"/>
            <w:bookmarkStart w:id="331" w:name="_Toc29084"/>
            <w:r>
              <w:rPr>
                <w:rFonts w:hint="eastAsia" w:ascii="宋体" w:hAnsi="宋体" w:cs="宋体"/>
                <w:b/>
                <w:bCs/>
                <w:kern w:val="0"/>
                <w:szCs w:val="21"/>
              </w:rPr>
              <w:t>课程名称</w:t>
            </w:r>
            <w:bookmarkEnd w:id="329"/>
            <w:bookmarkEnd w:id="330"/>
            <w:bookmarkEnd w:id="331"/>
          </w:p>
        </w:tc>
        <w:tc>
          <w:tcPr>
            <w:tcW w:w="680" w:type="dxa"/>
            <w:vAlign w:val="center"/>
          </w:tcPr>
          <w:p>
            <w:pPr>
              <w:widowControl/>
              <w:jc w:val="center"/>
              <w:outlineLvl w:val="0"/>
              <w:rPr>
                <w:rFonts w:ascii="宋体" w:cs="宋体"/>
                <w:b/>
                <w:bCs/>
                <w:kern w:val="0"/>
                <w:szCs w:val="21"/>
              </w:rPr>
            </w:pPr>
            <w:bookmarkStart w:id="332" w:name="_Toc4072"/>
            <w:bookmarkStart w:id="333" w:name="_Toc24331"/>
            <w:bookmarkStart w:id="334" w:name="_Toc7921"/>
            <w:r>
              <w:rPr>
                <w:rFonts w:hint="eastAsia" w:ascii="宋体" w:hAnsi="宋体" w:cs="宋体"/>
                <w:b/>
                <w:bCs/>
                <w:kern w:val="0"/>
                <w:szCs w:val="21"/>
              </w:rPr>
              <w:t>课程类别</w:t>
            </w:r>
            <w:bookmarkEnd w:id="332"/>
            <w:bookmarkEnd w:id="333"/>
            <w:bookmarkEnd w:id="334"/>
          </w:p>
        </w:tc>
        <w:tc>
          <w:tcPr>
            <w:tcW w:w="3235" w:type="dxa"/>
            <w:vAlign w:val="center"/>
          </w:tcPr>
          <w:p>
            <w:pPr>
              <w:widowControl/>
              <w:jc w:val="center"/>
              <w:outlineLvl w:val="0"/>
              <w:rPr>
                <w:rFonts w:ascii="宋体" w:cs="宋体"/>
                <w:b/>
                <w:bCs/>
                <w:kern w:val="0"/>
                <w:szCs w:val="21"/>
              </w:rPr>
            </w:pPr>
            <w:bookmarkStart w:id="335" w:name="_Toc21175"/>
            <w:bookmarkStart w:id="336" w:name="_Toc32362"/>
            <w:bookmarkStart w:id="337" w:name="_Toc12308"/>
            <w:r>
              <w:rPr>
                <w:rFonts w:hint="eastAsia" w:ascii="宋体" w:hAnsi="宋体" w:cs="宋体"/>
                <w:b/>
                <w:bCs/>
                <w:kern w:val="0"/>
                <w:szCs w:val="21"/>
              </w:rPr>
              <w:t>主要教学内容</w:t>
            </w:r>
            <w:bookmarkEnd w:id="335"/>
            <w:bookmarkEnd w:id="336"/>
            <w:bookmarkEnd w:id="337"/>
          </w:p>
        </w:tc>
        <w:tc>
          <w:tcPr>
            <w:tcW w:w="3740" w:type="dxa"/>
            <w:vAlign w:val="center"/>
          </w:tcPr>
          <w:p>
            <w:pPr>
              <w:widowControl/>
              <w:jc w:val="center"/>
              <w:outlineLvl w:val="0"/>
              <w:rPr>
                <w:rFonts w:ascii="宋体" w:cs="宋体"/>
                <w:b/>
                <w:bCs/>
                <w:kern w:val="0"/>
                <w:szCs w:val="21"/>
              </w:rPr>
            </w:pPr>
            <w:bookmarkStart w:id="338" w:name="_Toc6950"/>
            <w:bookmarkStart w:id="339" w:name="_Toc12204"/>
            <w:bookmarkStart w:id="340" w:name="_Toc14004"/>
            <w:r>
              <w:rPr>
                <w:rFonts w:hint="eastAsia" w:ascii="宋体" w:hAnsi="宋体" w:cs="宋体"/>
                <w:b/>
                <w:bCs/>
                <w:kern w:val="0"/>
                <w:szCs w:val="21"/>
              </w:rPr>
              <w:t>教学要求</w:t>
            </w:r>
            <w:bookmarkEnd w:id="338"/>
            <w:bookmarkEnd w:id="339"/>
            <w:bookmarkEnd w:id="3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341" w:name="_Toc19247"/>
            <w:bookmarkStart w:id="342" w:name="_Toc24059"/>
            <w:bookmarkStart w:id="343" w:name="_Toc9323"/>
            <w:r>
              <w:rPr>
                <w:rFonts w:ascii="宋体" w:hAnsi="宋体" w:cs="宋体"/>
                <w:kern w:val="0"/>
                <w:szCs w:val="21"/>
              </w:rPr>
              <w:t>1</w:t>
            </w:r>
            <w:bookmarkEnd w:id="341"/>
            <w:bookmarkEnd w:id="342"/>
            <w:bookmarkEnd w:id="343"/>
          </w:p>
        </w:tc>
        <w:tc>
          <w:tcPr>
            <w:tcW w:w="857" w:type="dxa"/>
            <w:vAlign w:val="center"/>
          </w:tcPr>
          <w:p>
            <w:pPr>
              <w:widowControl/>
              <w:jc w:val="both"/>
              <w:outlineLvl w:val="0"/>
              <w:rPr>
                <w:rFonts w:ascii="宋体" w:cs="宋体"/>
                <w:kern w:val="0"/>
                <w:szCs w:val="21"/>
              </w:rPr>
            </w:pPr>
            <w:bookmarkStart w:id="344" w:name="_Toc11077"/>
            <w:bookmarkStart w:id="345" w:name="_Toc31806"/>
            <w:bookmarkStart w:id="346" w:name="_Toc1904"/>
            <w:r>
              <w:rPr>
                <w:rFonts w:hint="eastAsia" w:ascii="宋体" w:hAnsi="宋体"/>
                <w:szCs w:val="21"/>
              </w:rPr>
              <w:t>建筑材料</w:t>
            </w:r>
            <w:bookmarkEnd w:id="344"/>
            <w:bookmarkEnd w:id="345"/>
            <w:bookmarkEnd w:id="346"/>
          </w:p>
        </w:tc>
        <w:tc>
          <w:tcPr>
            <w:tcW w:w="680" w:type="dxa"/>
            <w:vAlign w:val="center"/>
          </w:tcPr>
          <w:p>
            <w:pPr>
              <w:widowControl/>
              <w:jc w:val="both"/>
              <w:outlineLvl w:val="0"/>
              <w:rPr>
                <w:rFonts w:ascii="宋体" w:cs="宋体"/>
                <w:kern w:val="0"/>
                <w:szCs w:val="21"/>
              </w:rPr>
            </w:pPr>
            <w:bookmarkStart w:id="347" w:name="_Toc21987"/>
            <w:bookmarkStart w:id="348" w:name="_Toc6036"/>
            <w:bookmarkStart w:id="349" w:name="_Toc1814"/>
            <w:r>
              <w:rPr>
                <w:rFonts w:hint="eastAsia" w:ascii="宋体" w:hAnsi="宋体" w:cs="宋体"/>
                <w:kern w:val="0"/>
                <w:szCs w:val="21"/>
              </w:rPr>
              <w:t>专业群平台课</w:t>
            </w:r>
            <w:bookmarkEnd w:id="347"/>
            <w:bookmarkEnd w:id="348"/>
            <w:bookmarkEnd w:id="349"/>
          </w:p>
        </w:tc>
        <w:tc>
          <w:tcPr>
            <w:tcW w:w="3235" w:type="dxa"/>
            <w:vAlign w:val="center"/>
          </w:tcPr>
          <w:p>
            <w:pPr>
              <w:widowControl/>
              <w:jc w:val="both"/>
              <w:outlineLvl w:val="0"/>
              <w:rPr>
                <w:rFonts w:ascii="宋体" w:cs="宋体"/>
                <w:kern w:val="0"/>
                <w:szCs w:val="21"/>
              </w:rPr>
            </w:pPr>
            <w:bookmarkStart w:id="350" w:name="_Toc25371"/>
            <w:bookmarkStart w:id="351" w:name="_Toc20007"/>
            <w:bookmarkStart w:id="352" w:name="_Toc18042"/>
            <w:r>
              <w:rPr>
                <w:rFonts w:hint="eastAsia" w:ascii="宋体" w:hAnsi="宋体" w:cs="宋体"/>
                <w:szCs w:val="21"/>
              </w:rPr>
              <w:t>建筑材料的组成、结构、技术性质；建筑材料的主要品种、规格、技术性能和质量标准、特点和有关的国家标准或行业标准；主要建筑材料的质量检测方法。</w:t>
            </w:r>
            <w:bookmarkEnd w:id="350"/>
            <w:bookmarkEnd w:id="351"/>
            <w:bookmarkEnd w:id="352"/>
          </w:p>
        </w:tc>
        <w:tc>
          <w:tcPr>
            <w:tcW w:w="3740" w:type="dxa"/>
            <w:vAlign w:val="center"/>
          </w:tcPr>
          <w:p>
            <w:pPr>
              <w:widowControl/>
              <w:jc w:val="both"/>
              <w:outlineLvl w:val="0"/>
              <w:rPr>
                <w:rFonts w:ascii="宋体" w:cs="宋体"/>
                <w:kern w:val="0"/>
                <w:szCs w:val="21"/>
              </w:rPr>
            </w:pPr>
            <w:bookmarkStart w:id="353" w:name="_Toc2864"/>
            <w:bookmarkStart w:id="354" w:name="_Toc4059"/>
            <w:bookmarkStart w:id="355" w:name="_Toc25595"/>
            <w:r>
              <w:rPr>
                <w:rFonts w:hint="eastAsia" w:ascii="宋体" w:hAnsi="宋体" w:cs="宋体"/>
                <w:szCs w:val="21"/>
              </w:rPr>
              <w:t>掌握建筑材料的技术性质及应用。能正确、合理地选用建筑材料；能进行常用建筑材料质量检测，</w:t>
            </w:r>
            <w:r>
              <w:rPr>
                <w:rFonts w:ascii="宋体" w:hAnsi="宋体" w:cs="宋体"/>
                <w:szCs w:val="21"/>
              </w:rPr>
              <w:t xml:space="preserve"> </w:t>
            </w:r>
            <w:r>
              <w:rPr>
                <w:rFonts w:hint="eastAsia" w:ascii="宋体" w:hAnsi="宋体" w:cs="宋体"/>
                <w:szCs w:val="21"/>
              </w:rPr>
              <w:t>具备正确验收和保管建筑材料的能力。注重培养学生良好的职业素质，养成建筑材料检测必备的严谨求实、耐心细致的工作作风和良好的与人沟通协调的能力，为学生毕业后从事建筑类相关专业打下基础。</w:t>
            </w:r>
            <w:bookmarkEnd w:id="353"/>
            <w:bookmarkEnd w:id="354"/>
            <w:bookmarkEnd w:id="3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356" w:name="_Toc32488"/>
            <w:bookmarkStart w:id="357" w:name="_Toc23782"/>
            <w:bookmarkStart w:id="358" w:name="_Toc29788"/>
            <w:r>
              <w:rPr>
                <w:rFonts w:ascii="宋体" w:hAnsi="宋体" w:cs="宋体"/>
                <w:kern w:val="0"/>
                <w:szCs w:val="21"/>
              </w:rPr>
              <w:t>2</w:t>
            </w:r>
            <w:bookmarkEnd w:id="356"/>
            <w:bookmarkEnd w:id="357"/>
            <w:bookmarkEnd w:id="358"/>
          </w:p>
        </w:tc>
        <w:tc>
          <w:tcPr>
            <w:tcW w:w="857" w:type="dxa"/>
            <w:vAlign w:val="center"/>
          </w:tcPr>
          <w:p>
            <w:pPr>
              <w:widowControl/>
              <w:jc w:val="both"/>
              <w:outlineLvl w:val="0"/>
              <w:rPr>
                <w:rFonts w:ascii="宋体" w:cs="宋体"/>
                <w:kern w:val="0"/>
                <w:szCs w:val="21"/>
              </w:rPr>
            </w:pPr>
            <w:bookmarkStart w:id="359" w:name="_Toc3653"/>
            <w:bookmarkStart w:id="360" w:name="_Toc14336"/>
            <w:bookmarkStart w:id="361" w:name="_Toc21690"/>
            <w:r>
              <w:rPr>
                <w:rFonts w:hint="eastAsia" w:ascii="宋体" w:hAnsi="宋体"/>
                <w:szCs w:val="21"/>
              </w:rPr>
              <w:t>建筑</w:t>
            </w:r>
            <w:r>
              <w:rPr>
                <w:rFonts w:ascii="宋体" w:hAnsi="宋体"/>
                <w:szCs w:val="21"/>
              </w:rPr>
              <w:t>CAD</w:t>
            </w:r>
            <w:bookmarkEnd w:id="359"/>
            <w:bookmarkEnd w:id="360"/>
            <w:bookmarkEnd w:id="361"/>
          </w:p>
        </w:tc>
        <w:tc>
          <w:tcPr>
            <w:tcW w:w="680" w:type="dxa"/>
            <w:vAlign w:val="center"/>
          </w:tcPr>
          <w:p>
            <w:pPr>
              <w:widowControl/>
              <w:jc w:val="both"/>
              <w:outlineLvl w:val="0"/>
              <w:rPr>
                <w:rFonts w:ascii="宋体" w:cs="宋体"/>
                <w:kern w:val="0"/>
                <w:szCs w:val="21"/>
              </w:rPr>
            </w:pPr>
            <w:bookmarkStart w:id="362" w:name="_Toc21838"/>
            <w:bookmarkStart w:id="363" w:name="_Toc13804"/>
            <w:bookmarkStart w:id="364" w:name="_Toc23184"/>
            <w:r>
              <w:rPr>
                <w:rFonts w:hint="eastAsia" w:ascii="宋体" w:hAnsi="宋体" w:cs="宋体"/>
                <w:kern w:val="0"/>
                <w:szCs w:val="21"/>
              </w:rPr>
              <w:t>专业群平台课</w:t>
            </w:r>
            <w:bookmarkEnd w:id="362"/>
            <w:bookmarkEnd w:id="363"/>
            <w:bookmarkEnd w:id="364"/>
          </w:p>
        </w:tc>
        <w:tc>
          <w:tcPr>
            <w:tcW w:w="3235" w:type="dxa"/>
            <w:vAlign w:val="center"/>
          </w:tcPr>
          <w:p>
            <w:pPr>
              <w:widowControl/>
              <w:jc w:val="both"/>
              <w:outlineLvl w:val="0"/>
              <w:rPr>
                <w:rFonts w:ascii="宋体" w:cs="宋体"/>
                <w:kern w:val="0"/>
                <w:szCs w:val="21"/>
              </w:rPr>
            </w:pPr>
            <w:bookmarkStart w:id="365" w:name="_Toc17092"/>
            <w:bookmarkStart w:id="366" w:name="_Toc23637"/>
            <w:bookmarkStart w:id="367" w:name="_Toc494"/>
            <w:r>
              <w:rPr>
                <w:rFonts w:hint="eastAsia" w:ascii="宋体" w:hAnsi="宋体" w:cs="宋体"/>
                <w:szCs w:val="21"/>
              </w:rPr>
              <w:t>本课程分为</w:t>
            </w:r>
            <w:r>
              <w:rPr>
                <w:rFonts w:ascii="宋体" w:hAnsi="宋体" w:cs="宋体"/>
                <w:szCs w:val="21"/>
              </w:rPr>
              <w:t>AutoCAD</w:t>
            </w:r>
            <w:r>
              <w:rPr>
                <w:rFonts w:hint="eastAsia" w:ascii="宋体" w:hAnsi="宋体" w:cs="宋体"/>
                <w:szCs w:val="21"/>
              </w:rPr>
              <w:t>基础、基本绘图命令、基本编辑命令、高级编辑命令、标注、打印输出、综合练习、考核</w:t>
            </w:r>
            <w:r>
              <w:rPr>
                <w:rFonts w:ascii="宋体" w:hAnsi="宋体" w:cs="宋体"/>
                <w:szCs w:val="21"/>
              </w:rPr>
              <w:t>8</w:t>
            </w:r>
            <w:r>
              <w:rPr>
                <w:rFonts w:hint="eastAsia" w:ascii="宋体" w:hAnsi="宋体" w:cs="宋体"/>
                <w:szCs w:val="21"/>
              </w:rPr>
              <w:t>个教学模块。</w:t>
            </w:r>
            <w:bookmarkEnd w:id="365"/>
            <w:bookmarkEnd w:id="366"/>
            <w:bookmarkEnd w:id="367"/>
          </w:p>
        </w:tc>
        <w:tc>
          <w:tcPr>
            <w:tcW w:w="3740" w:type="dxa"/>
            <w:vAlign w:val="center"/>
          </w:tcPr>
          <w:p>
            <w:pPr>
              <w:widowControl/>
              <w:jc w:val="both"/>
              <w:outlineLvl w:val="0"/>
              <w:rPr>
                <w:rFonts w:ascii="宋体" w:cs="宋体"/>
                <w:kern w:val="0"/>
                <w:szCs w:val="21"/>
              </w:rPr>
            </w:pPr>
            <w:bookmarkStart w:id="368" w:name="_Toc3296"/>
            <w:bookmarkStart w:id="369" w:name="_Toc24913"/>
            <w:bookmarkStart w:id="370" w:name="_Toc6178"/>
            <w:r>
              <w:rPr>
                <w:rFonts w:hint="eastAsia" w:ascii="宋体" w:hAnsi="宋体" w:cs="宋体"/>
                <w:szCs w:val="21"/>
              </w:rPr>
              <w:t>通过对本课程的学习，培养学生运用</w:t>
            </w:r>
            <w:r>
              <w:rPr>
                <w:rFonts w:ascii="宋体" w:hAnsi="宋体" w:cs="宋体"/>
                <w:szCs w:val="21"/>
              </w:rPr>
              <w:t>AutoCAD</w:t>
            </w:r>
            <w:r>
              <w:rPr>
                <w:rFonts w:hint="eastAsia" w:ascii="宋体" w:hAnsi="宋体" w:cs="宋体"/>
                <w:szCs w:val="21"/>
              </w:rPr>
              <w:t>软件绘制施工图的方法与技巧，具备利用</w:t>
            </w:r>
            <w:r>
              <w:rPr>
                <w:rFonts w:ascii="宋体" w:hAnsi="宋体" w:cs="宋体"/>
                <w:szCs w:val="21"/>
              </w:rPr>
              <w:t>AutoCAD</w:t>
            </w:r>
            <w:r>
              <w:rPr>
                <w:rFonts w:hint="eastAsia" w:ascii="宋体" w:hAnsi="宋体" w:cs="宋体"/>
                <w:szCs w:val="21"/>
              </w:rPr>
              <w:t>软件绘制施工图的职业技能。</w:t>
            </w:r>
            <w:bookmarkEnd w:id="368"/>
            <w:bookmarkEnd w:id="369"/>
            <w:bookmarkEnd w:id="3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371" w:name="_Toc10371"/>
            <w:bookmarkStart w:id="372" w:name="_Toc17207"/>
            <w:bookmarkStart w:id="373" w:name="_Toc19407"/>
            <w:r>
              <w:rPr>
                <w:rFonts w:ascii="宋体" w:hAnsi="宋体" w:cs="宋体"/>
                <w:kern w:val="0"/>
                <w:szCs w:val="21"/>
              </w:rPr>
              <w:t>3</w:t>
            </w:r>
            <w:bookmarkEnd w:id="371"/>
            <w:bookmarkEnd w:id="372"/>
            <w:bookmarkEnd w:id="373"/>
          </w:p>
        </w:tc>
        <w:tc>
          <w:tcPr>
            <w:tcW w:w="857" w:type="dxa"/>
            <w:vAlign w:val="center"/>
          </w:tcPr>
          <w:p>
            <w:pPr>
              <w:widowControl/>
              <w:jc w:val="both"/>
              <w:outlineLvl w:val="0"/>
              <w:rPr>
                <w:rFonts w:ascii="宋体" w:cs="宋体"/>
                <w:kern w:val="0"/>
                <w:szCs w:val="21"/>
              </w:rPr>
            </w:pPr>
            <w:bookmarkStart w:id="374" w:name="_Toc4963"/>
            <w:bookmarkStart w:id="375" w:name="_Toc7676"/>
            <w:bookmarkStart w:id="376" w:name="_Toc15453"/>
            <w:r>
              <w:rPr>
                <w:rFonts w:ascii="宋体" w:hAnsi="宋体"/>
                <w:szCs w:val="21"/>
              </w:rPr>
              <w:t>Revit</w:t>
            </w:r>
            <w:r>
              <w:rPr>
                <w:rFonts w:hint="eastAsia" w:ascii="宋体" w:hAnsi="宋体"/>
                <w:szCs w:val="21"/>
              </w:rPr>
              <w:t>建模</w:t>
            </w:r>
            <w:bookmarkEnd w:id="374"/>
            <w:bookmarkEnd w:id="375"/>
            <w:bookmarkEnd w:id="376"/>
          </w:p>
        </w:tc>
        <w:tc>
          <w:tcPr>
            <w:tcW w:w="680" w:type="dxa"/>
            <w:vAlign w:val="center"/>
          </w:tcPr>
          <w:p>
            <w:pPr>
              <w:widowControl/>
              <w:jc w:val="both"/>
              <w:outlineLvl w:val="0"/>
              <w:rPr>
                <w:rFonts w:ascii="宋体" w:cs="宋体"/>
                <w:kern w:val="0"/>
                <w:szCs w:val="21"/>
              </w:rPr>
            </w:pPr>
            <w:bookmarkStart w:id="377" w:name="_Toc22101"/>
            <w:bookmarkStart w:id="378" w:name="_Toc22972"/>
            <w:bookmarkStart w:id="379" w:name="_Toc15523"/>
            <w:r>
              <w:rPr>
                <w:rFonts w:hint="eastAsia" w:ascii="宋体" w:hAnsi="宋体" w:cs="宋体"/>
                <w:kern w:val="0"/>
                <w:szCs w:val="21"/>
              </w:rPr>
              <w:t>专业群平台课</w:t>
            </w:r>
            <w:bookmarkEnd w:id="377"/>
            <w:bookmarkEnd w:id="378"/>
            <w:bookmarkEnd w:id="379"/>
          </w:p>
        </w:tc>
        <w:tc>
          <w:tcPr>
            <w:tcW w:w="3235" w:type="dxa"/>
            <w:vAlign w:val="center"/>
          </w:tcPr>
          <w:p>
            <w:pPr>
              <w:widowControl/>
              <w:jc w:val="both"/>
              <w:outlineLvl w:val="0"/>
              <w:rPr>
                <w:rFonts w:ascii="宋体" w:cs="宋体"/>
                <w:kern w:val="0"/>
                <w:szCs w:val="21"/>
              </w:rPr>
            </w:pPr>
            <w:bookmarkStart w:id="380" w:name="_Toc3071"/>
            <w:bookmarkStart w:id="381" w:name="_Toc15938"/>
            <w:bookmarkStart w:id="382" w:name="_Toc10225"/>
            <w:r>
              <w:rPr>
                <w:rFonts w:ascii="宋体" w:hAnsi="宋体" w:cs="仿宋_GB2312"/>
                <w:kern w:val="10"/>
              </w:rPr>
              <w:t>revit</w:t>
            </w:r>
            <w:r>
              <w:rPr>
                <w:rFonts w:hint="eastAsia" w:ascii="宋体" w:hAnsi="宋体" w:cs="仿宋_GB2312"/>
                <w:kern w:val="10"/>
              </w:rPr>
              <w:t>建模的基本顺序；</w:t>
            </w:r>
            <w:r>
              <w:rPr>
                <w:rFonts w:ascii="宋体" w:hAnsi="宋体" w:cs="仿宋_GB2312"/>
                <w:kern w:val="10"/>
              </w:rPr>
              <w:t>revit</w:t>
            </w:r>
            <w:r>
              <w:rPr>
                <w:rFonts w:hint="eastAsia" w:ascii="宋体" w:hAnsi="宋体" w:cs="仿宋_GB2312"/>
                <w:kern w:val="10"/>
              </w:rPr>
              <w:t>软件对建筑各构件的建模方法</w:t>
            </w:r>
            <w:r>
              <w:rPr>
                <w:rFonts w:ascii="宋体" w:hAnsi="宋体" w:cs="仿宋_GB2312"/>
                <w:kern w:val="10"/>
              </w:rPr>
              <w:t>；</w:t>
            </w:r>
            <w:r>
              <w:rPr>
                <w:rFonts w:hint="eastAsia" w:ascii="宋体" w:hAnsi="宋体" w:cs="仿宋_GB2312"/>
                <w:kern w:val="10"/>
              </w:rPr>
              <w:t>族创建的基本命令</w:t>
            </w:r>
            <w:r>
              <w:rPr>
                <w:rFonts w:ascii="宋体" w:hAnsi="宋体" w:cs="仿宋_GB2312"/>
                <w:kern w:val="10"/>
              </w:rPr>
              <w:t>；</w:t>
            </w:r>
            <w:r>
              <w:rPr>
                <w:rFonts w:hint="eastAsia" w:ascii="宋体" w:hAnsi="宋体" w:cs="仿宋_GB2312"/>
                <w:kern w:val="10"/>
              </w:rPr>
              <w:t>实际项目信息化建模及应用的方法。</w:t>
            </w:r>
            <w:bookmarkEnd w:id="380"/>
            <w:bookmarkEnd w:id="381"/>
            <w:bookmarkEnd w:id="382"/>
          </w:p>
        </w:tc>
        <w:tc>
          <w:tcPr>
            <w:tcW w:w="3740" w:type="dxa"/>
            <w:vAlign w:val="center"/>
          </w:tcPr>
          <w:p>
            <w:pPr>
              <w:widowControl/>
              <w:jc w:val="both"/>
              <w:outlineLvl w:val="0"/>
              <w:rPr>
                <w:rFonts w:ascii="宋体" w:cs="宋体"/>
                <w:kern w:val="0"/>
                <w:szCs w:val="21"/>
              </w:rPr>
            </w:pPr>
            <w:bookmarkStart w:id="383" w:name="_Toc5110"/>
            <w:bookmarkStart w:id="384" w:name="_Toc5520"/>
            <w:bookmarkStart w:id="385" w:name="_Toc15316"/>
            <w:r>
              <w:rPr>
                <w:rFonts w:hint="eastAsia" w:ascii="宋体" w:hAnsi="宋体" w:cs="仿宋_GB2312"/>
                <w:kern w:val="10"/>
              </w:rPr>
              <w:t>培养学生能熟练地识读建筑专业图纸，应用</w:t>
            </w:r>
            <w:r>
              <w:rPr>
                <w:rFonts w:ascii="宋体" w:hAnsi="宋体" w:cs="仿宋_GB2312"/>
                <w:kern w:val="10"/>
              </w:rPr>
              <w:t>revit</w:t>
            </w:r>
            <w:r>
              <w:rPr>
                <w:rFonts w:hint="eastAsia" w:ascii="宋体" w:hAnsi="宋体" w:cs="仿宋_GB2312"/>
                <w:kern w:val="10"/>
              </w:rPr>
              <w:t>软件将建筑图纸转化为建筑信息化模型，实现项目的信息化管理和应用。</w:t>
            </w:r>
            <w:bookmarkEnd w:id="383"/>
            <w:bookmarkEnd w:id="384"/>
            <w:bookmarkEnd w:id="3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386" w:name="_Toc21474"/>
            <w:bookmarkStart w:id="387" w:name="_Toc23670"/>
            <w:bookmarkStart w:id="388" w:name="_Toc28724"/>
            <w:r>
              <w:rPr>
                <w:rFonts w:ascii="宋体" w:hAnsi="宋体" w:cs="宋体"/>
                <w:kern w:val="0"/>
                <w:szCs w:val="21"/>
              </w:rPr>
              <w:t>4</w:t>
            </w:r>
            <w:bookmarkEnd w:id="386"/>
            <w:bookmarkEnd w:id="387"/>
            <w:bookmarkEnd w:id="388"/>
          </w:p>
        </w:tc>
        <w:tc>
          <w:tcPr>
            <w:tcW w:w="857" w:type="dxa"/>
            <w:vAlign w:val="center"/>
          </w:tcPr>
          <w:p>
            <w:pPr>
              <w:widowControl/>
              <w:jc w:val="both"/>
              <w:outlineLvl w:val="0"/>
              <w:rPr>
                <w:rFonts w:ascii="宋体" w:cs="宋体"/>
                <w:kern w:val="0"/>
                <w:szCs w:val="21"/>
              </w:rPr>
            </w:pPr>
            <w:bookmarkStart w:id="389" w:name="_Toc21657"/>
            <w:bookmarkStart w:id="390" w:name="_Toc20228"/>
            <w:bookmarkStart w:id="391" w:name="_Toc28332"/>
            <w:r>
              <w:rPr>
                <w:rFonts w:hint="eastAsia" w:ascii="宋体" w:hAnsi="宋体"/>
                <w:szCs w:val="21"/>
              </w:rPr>
              <w:t>工程建设法规与合同管理</w:t>
            </w:r>
            <w:bookmarkEnd w:id="389"/>
            <w:bookmarkEnd w:id="390"/>
            <w:bookmarkEnd w:id="391"/>
          </w:p>
        </w:tc>
        <w:tc>
          <w:tcPr>
            <w:tcW w:w="680" w:type="dxa"/>
            <w:vAlign w:val="center"/>
          </w:tcPr>
          <w:p>
            <w:pPr>
              <w:widowControl/>
              <w:jc w:val="both"/>
              <w:outlineLvl w:val="0"/>
              <w:rPr>
                <w:rFonts w:ascii="宋体" w:cs="宋体"/>
                <w:kern w:val="0"/>
                <w:szCs w:val="21"/>
              </w:rPr>
            </w:pPr>
            <w:bookmarkStart w:id="392" w:name="_Toc31023"/>
            <w:bookmarkStart w:id="393" w:name="_Toc22664"/>
            <w:bookmarkStart w:id="394" w:name="_Toc7525"/>
            <w:r>
              <w:rPr>
                <w:rFonts w:hint="eastAsia" w:ascii="宋体" w:hAnsi="宋体" w:cs="宋体"/>
                <w:kern w:val="0"/>
                <w:szCs w:val="21"/>
              </w:rPr>
              <w:t>专业群平台课</w:t>
            </w:r>
            <w:bookmarkEnd w:id="392"/>
            <w:bookmarkEnd w:id="393"/>
            <w:bookmarkEnd w:id="394"/>
          </w:p>
        </w:tc>
        <w:tc>
          <w:tcPr>
            <w:tcW w:w="3235" w:type="dxa"/>
            <w:vAlign w:val="center"/>
          </w:tcPr>
          <w:p>
            <w:pPr>
              <w:adjustRightInd w:val="0"/>
              <w:snapToGrid w:val="0"/>
              <w:jc w:val="both"/>
              <w:textAlignment w:val="baseline"/>
              <w:rPr>
                <w:rFonts w:ascii="宋体" w:cs="宋体"/>
                <w:kern w:val="0"/>
                <w:szCs w:val="21"/>
              </w:rPr>
            </w:pPr>
            <w:r>
              <w:rPr>
                <w:rFonts w:hint="eastAsia" w:ascii="宋体" w:hAnsi="宋体" w:cs="宋体"/>
                <w:szCs w:val="21"/>
              </w:rPr>
              <w:t>招投标的程序及相关工作内容、施工招投标文件的编制方法；建设工程施工合同管理及索赔管理的主要内容；</w:t>
            </w:r>
            <w:r>
              <w:rPr>
                <w:rFonts w:hint="eastAsia" w:ascii="宋体" w:hAnsi="宋体"/>
                <w:szCs w:val="21"/>
              </w:rPr>
              <w:t>合同法关于合同效力的法律规定；合同的履行、变更、转让和终止；违约责任及争议的解决等有关内容。</w:t>
            </w:r>
          </w:p>
        </w:tc>
        <w:tc>
          <w:tcPr>
            <w:tcW w:w="3740" w:type="dxa"/>
            <w:vAlign w:val="center"/>
          </w:tcPr>
          <w:p>
            <w:pPr>
              <w:adjustRightInd w:val="0"/>
              <w:snapToGrid w:val="0"/>
              <w:jc w:val="both"/>
              <w:textAlignment w:val="baseline"/>
              <w:rPr>
                <w:rFonts w:ascii="宋体" w:cs="宋体"/>
                <w:kern w:val="0"/>
                <w:szCs w:val="21"/>
              </w:rPr>
            </w:pPr>
            <w:r>
              <w:rPr>
                <w:rFonts w:hint="eastAsia" w:ascii="宋体" w:hAnsi="宋体"/>
                <w:szCs w:val="21"/>
              </w:rPr>
              <w:t>学生能够利用所学相关知识，熟练地编制招标文件及投标文件，并进行施工合同管理能力，能够熟练运用相关的法律、法规解决工程建设中的相关问题。助力培养学生的工程施工管理能力，为从事招投标及工程合同管理等建筑类职业岗位工作奠定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395" w:name="_Toc7851"/>
            <w:bookmarkStart w:id="396" w:name="_Toc13219"/>
            <w:bookmarkStart w:id="397" w:name="_Toc23562"/>
            <w:r>
              <w:rPr>
                <w:rFonts w:ascii="宋体" w:hAnsi="宋体" w:cs="宋体"/>
                <w:kern w:val="0"/>
                <w:szCs w:val="21"/>
              </w:rPr>
              <w:t>5</w:t>
            </w:r>
            <w:bookmarkEnd w:id="395"/>
            <w:bookmarkEnd w:id="396"/>
            <w:bookmarkEnd w:id="397"/>
          </w:p>
        </w:tc>
        <w:tc>
          <w:tcPr>
            <w:tcW w:w="857" w:type="dxa"/>
            <w:vAlign w:val="center"/>
          </w:tcPr>
          <w:p>
            <w:pPr>
              <w:widowControl/>
              <w:jc w:val="both"/>
              <w:outlineLvl w:val="0"/>
              <w:rPr>
                <w:rFonts w:ascii="宋体" w:cs="宋体"/>
                <w:kern w:val="0"/>
                <w:szCs w:val="21"/>
              </w:rPr>
            </w:pPr>
            <w:bookmarkStart w:id="398" w:name="_Toc7725"/>
            <w:bookmarkStart w:id="399" w:name="_Toc10697"/>
            <w:bookmarkStart w:id="400" w:name="_Toc9247"/>
            <w:r>
              <w:rPr>
                <w:rFonts w:ascii="宋体" w:hAnsi="宋体"/>
                <w:szCs w:val="21"/>
              </w:rPr>
              <w:t>*</w:t>
            </w:r>
            <w:r>
              <w:rPr>
                <w:rFonts w:hint="eastAsia" w:ascii="宋体" w:hAnsi="宋体"/>
                <w:szCs w:val="21"/>
              </w:rPr>
              <w:t>建筑工程项目识图</w:t>
            </w:r>
            <w:bookmarkEnd w:id="398"/>
            <w:bookmarkEnd w:id="399"/>
            <w:bookmarkEnd w:id="400"/>
          </w:p>
        </w:tc>
        <w:tc>
          <w:tcPr>
            <w:tcW w:w="680" w:type="dxa"/>
            <w:vAlign w:val="center"/>
          </w:tcPr>
          <w:p>
            <w:pPr>
              <w:widowControl/>
              <w:jc w:val="both"/>
              <w:outlineLvl w:val="0"/>
              <w:rPr>
                <w:rFonts w:ascii="宋体" w:cs="宋体"/>
                <w:kern w:val="0"/>
                <w:szCs w:val="21"/>
              </w:rPr>
            </w:pPr>
            <w:bookmarkStart w:id="401" w:name="_Toc4793"/>
            <w:bookmarkStart w:id="402" w:name="_Toc9640"/>
            <w:bookmarkStart w:id="403" w:name="_Toc21123"/>
            <w:r>
              <w:rPr>
                <w:rFonts w:hint="eastAsia" w:ascii="宋体" w:hAnsi="宋体" w:cs="宋体"/>
                <w:kern w:val="0"/>
                <w:szCs w:val="21"/>
              </w:rPr>
              <w:t>专业基础课</w:t>
            </w:r>
            <w:bookmarkEnd w:id="401"/>
            <w:bookmarkEnd w:id="402"/>
            <w:bookmarkEnd w:id="403"/>
          </w:p>
        </w:tc>
        <w:tc>
          <w:tcPr>
            <w:tcW w:w="3235" w:type="dxa"/>
            <w:vAlign w:val="center"/>
          </w:tcPr>
          <w:p>
            <w:pPr>
              <w:widowControl/>
              <w:jc w:val="both"/>
              <w:outlineLvl w:val="0"/>
              <w:rPr>
                <w:rFonts w:ascii="宋体" w:cs="宋体"/>
                <w:kern w:val="0"/>
                <w:szCs w:val="21"/>
              </w:rPr>
            </w:pPr>
            <w:bookmarkStart w:id="404" w:name="_Toc21257"/>
            <w:bookmarkStart w:id="405" w:name="_Toc30987"/>
            <w:bookmarkStart w:id="406" w:name="_Toc15203"/>
            <w:r>
              <w:rPr>
                <w:rFonts w:hint="eastAsia" w:ascii="宋体" w:hAnsi="宋体" w:cs="宋体"/>
                <w:szCs w:val="21"/>
              </w:rPr>
              <w:t>正投影法原理及在建筑领域中的应用；制图标准规范要求；民用建筑构造的基本知识；建筑平面图、立面图、剖面图、索引详图的形成原理、绘图要求、表达内容、作用及其识读方法；部分典型节点的工程做法和构造要求。</w:t>
            </w:r>
            <w:bookmarkEnd w:id="404"/>
            <w:bookmarkEnd w:id="405"/>
            <w:bookmarkEnd w:id="406"/>
          </w:p>
        </w:tc>
        <w:tc>
          <w:tcPr>
            <w:tcW w:w="3740" w:type="dxa"/>
            <w:vAlign w:val="center"/>
          </w:tcPr>
          <w:p>
            <w:pPr>
              <w:widowControl/>
              <w:jc w:val="both"/>
              <w:outlineLvl w:val="0"/>
              <w:rPr>
                <w:rFonts w:ascii="宋体" w:cs="宋体"/>
                <w:kern w:val="0"/>
                <w:szCs w:val="21"/>
              </w:rPr>
            </w:pPr>
            <w:bookmarkStart w:id="407" w:name="_Toc4781"/>
            <w:bookmarkStart w:id="408" w:name="_Toc17424"/>
            <w:bookmarkStart w:id="409" w:name="_Toc19662"/>
            <w:r>
              <w:rPr>
                <w:rFonts w:hint="eastAsia" w:ascii="宋体" w:hAnsi="宋体" w:cs="宋体"/>
                <w:szCs w:val="21"/>
              </w:rPr>
              <w:t>学生通过本课程的学习，了解制图的基本原理和规范；熟悉建筑构造基本知识；掌握识图、绘图技巧，能识读建筑施工图，会查阅相关的国家规范和相关图集。同时培养学生良好的职业素养和团队意识，为今后进入职场打下基础</w:t>
            </w:r>
            <w:bookmarkEnd w:id="407"/>
            <w:bookmarkEnd w:id="408"/>
            <w:bookmarkEnd w:id="4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10" w:name="_Toc694"/>
            <w:bookmarkStart w:id="411" w:name="_Toc1256"/>
            <w:bookmarkStart w:id="412" w:name="_Toc31707"/>
            <w:r>
              <w:rPr>
                <w:rFonts w:ascii="宋体" w:hAnsi="宋体" w:cs="宋体"/>
                <w:kern w:val="0"/>
                <w:szCs w:val="21"/>
              </w:rPr>
              <w:t>6</w:t>
            </w:r>
            <w:bookmarkEnd w:id="410"/>
            <w:bookmarkEnd w:id="411"/>
            <w:bookmarkEnd w:id="412"/>
          </w:p>
        </w:tc>
        <w:tc>
          <w:tcPr>
            <w:tcW w:w="857" w:type="dxa"/>
            <w:vAlign w:val="center"/>
          </w:tcPr>
          <w:p>
            <w:pPr>
              <w:widowControl/>
              <w:jc w:val="both"/>
              <w:outlineLvl w:val="0"/>
              <w:rPr>
                <w:rFonts w:ascii="宋体" w:cs="宋体"/>
                <w:kern w:val="0"/>
                <w:szCs w:val="21"/>
              </w:rPr>
            </w:pPr>
            <w:bookmarkStart w:id="413" w:name="_Toc21427"/>
            <w:bookmarkStart w:id="414" w:name="_Toc26883"/>
            <w:bookmarkStart w:id="415" w:name="_Toc11896"/>
            <w:r>
              <w:rPr>
                <w:rFonts w:hint="eastAsia" w:ascii="宋体" w:hAnsi="宋体"/>
                <w:bCs/>
                <w:szCs w:val="21"/>
              </w:rPr>
              <w:t>结构识图及平法应用</w:t>
            </w:r>
            <w:bookmarkEnd w:id="413"/>
            <w:bookmarkEnd w:id="414"/>
            <w:bookmarkEnd w:id="415"/>
          </w:p>
        </w:tc>
        <w:tc>
          <w:tcPr>
            <w:tcW w:w="680" w:type="dxa"/>
            <w:vAlign w:val="center"/>
          </w:tcPr>
          <w:p>
            <w:pPr>
              <w:widowControl/>
              <w:jc w:val="both"/>
              <w:outlineLvl w:val="0"/>
              <w:rPr>
                <w:rFonts w:ascii="宋体" w:cs="宋体"/>
                <w:kern w:val="0"/>
                <w:szCs w:val="21"/>
              </w:rPr>
            </w:pPr>
            <w:bookmarkStart w:id="416" w:name="_Toc13220"/>
            <w:bookmarkStart w:id="417" w:name="_Toc3897"/>
            <w:bookmarkStart w:id="418" w:name="_Toc23108"/>
            <w:r>
              <w:rPr>
                <w:rFonts w:hint="eastAsia" w:ascii="宋体" w:hAnsi="宋体" w:cs="宋体"/>
                <w:kern w:val="0"/>
                <w:szCs w:val="21"/>
              </w:rPr>
              <w:t>专业基础课</w:t>
            </w:r>
            <w:bookmarkEnd w:id="416"/>
            <w:bookmarkEnd w:id="417"/>
            <w:bookmarkEnd w:id="418"/>
          </w:p>
        </w:tc>
        <w:tc>
          <w:tcPr>
            <w:tcW w:w="3235" w:type="dxa"/>
            <w:vAlign w:val="center"/>
          </w:tcPr>
          <w:p>
            <w:pPr>
              <w:widowControl/>
              <w:jc w:val="both"/>
              <w:outlineLvl w:val="0"/>
              <w:rPr>
                <w:rFonts w:ascii="宋体" w:cs="宋体"/>
                <w:kern w:val="0"/>
                <w:szCs w:val="21"/>
              </w:rPr>
            </w:pPr>
            <w:bookmarkStart w:id="419" w:name="_Toc14470"/>
            <w:bookmarkStart w:id="420" w:name="_Toc26748"/>
            <w:bookmarkStart w:id="421" w:name="_Toc17190"/>
            <w:r>
              <w:rPr>
                <w:rFonts w:hint="eastAsia" w:ascii="宋体" w:hAnsi="宋体"/>
                <w:szCs w:val="21"/>
              </w:rPr>
              <w:t>结构识图及平法应用的基础知识，各类构件的平法识图及钢筋构造知识。</w:t>
            </w:r>
            <w:bookmarkEnd w:id="419"/>
            <w:bookmarkEnd w:id="420"/>
            <w:bookmarkEnd w:id="421"/>
          </w:p>
        </w:tc>
        <w:tc>
          <w:tcPr>
            <w:tcW w:w="3740" w:type="dxa"/>
            <w:vAlign w:val="center"/>
          </w:tcPr>
          <w:p>
            <w:pPr>
              <w:widowControl/>
              <w:jc w:val="both"/>
              <w:outlineLvl w:val="0"/>
              <w:rPr>
                <w:rFonts w:ascii="宋体" w:cs="宋体"/>
                <w:kern w:val="0"/>
                <w:szCs w:val="21"/>
              </w:rPr>
            </w:pPr>
            <w:bookmarkStart w:id="422" w:name="_Toc9070"/>
            <w:bookmarkStart w:id="423" w:name="_Toc2996"/>
            <w:bookmarkStart w:id="424" w:name="_Toc24099"/>
            <w:r>
              <w:rPr>
                <w:rFonts w:hint="eastAsia" w:ascii="宋体" w:hAnsi="宋体"/>
                <w:szCs w:val="21"/>
              </w:rPr>
              <w:t>培养造价从业人员素养，掌握各类构件平法识图规则及钢筋构造知识，能运用所学的知识和技能熟练识读结构施工图，并具有应用钢筋构造进行钢筋算量的能力。</w:t>
            </w:r>
            <w:bookmarkEnd w:id="422"/>
            <w:bookmarkEnd w:id="423"/>
            <w:bookmarkEnd w:id="4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25" w:name="_Toc32509"/>
            <w:bookmarkStart w:id="426" w:name="_Toc7415"/>
            <w:bookmarkStart w:id="427" w:name="_Toc31982"/>
            <w:r>
              <w:rPr>
                <w:rFonts w:ascii="宋体" w:hAnsi="宋体" w:cs="宋体"/>
                <w:kern w:val="0"/>
                <w:szCs w:val="21"/>
              </w:rPr>
              <w:t>7</w:t>
            </w:r>
            <w:bookmarkEnd w:id="425"/>
            <w:bookmarkEnd w:id="426"/>
            <w:bookmarkEnd w:id="427"/>
          </w:p>
        </w:tc>
        <w:tc>
          <w:tcPr>
            <w:tcW w:w="857" w:type="dxa"/>
            <w:vAlign w:val="center"/>
          </w:tcPr>
          <w:p>
            <w:pPr>
              <w:widowControl/>
              <w:jc w:val="both"/>
              <w:outlineLvl w:val="0"/>
              <w:rPr>
                <w:rFonts w:ascii="宋体" w:cs="宋体"/>
                <w:kern w:val="0"/>
                <w:szCs w:val="21"/>
              </w:rPr>
            </w:pPr>
            <w:bookmarkStart w:id="428" w:name="_Toc15531"/>
            <w:bookmarkStart w:id="429" w:name="_Toc8344"/>
            <w:bookmarkStart w:id="430" w:name="_Toc16181"/>
            <w:r>
              <w:rPr>
                <w:rFonts w:hint="eastAsia" w:ascii="宋体" w:hAnsi="宋体"/>
                <w:szCs w:val="21"/>
              </w:rPr>
              <w:t>识图及钢筋计量实训</w:t>
            </w:r>
            <w:bookmarkEnd w:id="428"/>
            <w:bookmarkEnd w:id="429"/>
            <w:bookmarkEnd w:id="430"/>
          </w:p>
        </w:tc>
        <w:tc>
          <w:tcPr>
            <w:tcW w:w="680" w:type="dxa"/>
            <w:vAlign w:val="center"/>
          </w:tcPr>
          <w:p>
            <w:pPr>
              <w:widowControl/>
              <w:jc w:val="both"/>
              <w:outlineLvl w:val="0"/>
              <w:rPr>
                <w:rFonts w:ascii="宋体" w:cs="宋体"/>
                <w:kern w:val="0"/>
                <w:szCs w:val="21"/>
              </w:rPr>
            </w:pPr>
            <w:bookmarkStart w:id="431" w:name="_Toc25347"/>
            <w:bookmarkStart w:id="432" w:name="_Toc14051"/>
            <w:bookmarkStart w:id="433" w:name="_Toc4762"/>
            <w:r>
              <w:rPr>
                <w:rFonts w:hint="eastAsia" w:ascii="宋体" w:hAnsi="宋体" w:cs="宋体"/>
                <w:kern w:val="0"/>
                <w:szCs w:val="21"/>
              </w:rPr>
              <w:t>专业基础课</w:t>
            </w:r>
            <w:bookmarkEnd w:id="431"/>
            <w:bookmarkEnd w:id="432"/>
            <w:bookmarkEnd w:id="433"/>
          </w:p>
        </w:tc>
        <w:tc>
          <w:tcPr>
            <w:tcW w:w="3235" w:type="dxa"/>
            <w:vAlign w:val="center"/>
          </w:tcPr>
          <w:p>
            <w:pPr>
              <w:widowControl/>
              <w:jc w:val="both"/>
              <w:outlineLvl w:val="0"/>
              <w:rPr>
                <w:rFonts w:ascii="宋体"/>
                <w:szCs w:val="21"/>
              </w:rPr>
            </w:pPr>
            <w:bookmarkStart w:id="434" w:name="_Toc8321"/>
            <w:bookmarkStart w:id="435" w:name="_Toc31271"/>
            <w:bookmarkStart w:id="436" w:name="_Toc10034"/>
            <w:r>
              <w:rPr>
                <w:rFonts w:hint="eastAsia" w:ascii="宋体" w:hAnsi="宋体"/>
                <w:szCs w:val="21"/>
              </w:rPr>
              <w:t>建筑施工图信息采集、底层</w:t>
            </w:r>
            <w:r>
              <w:rPr>
                <w:rFonts w:ascii="宋体" w:hAnsi="宋体"/>
                <w:szCs w:val="21"/>
              </w:rPr>
              <w:t>+</w:t>
            </w:r>
            <w:r>
              <w:rPr>
                <w:rFonts w:hint="eastAsia" w:ascii="宋体" w:hAnsi="宋体"/>
                <w:szCs w:val="21"/>
              </w:rPr>
              <w:t>标准层</w:t>
            </w:r>
            <w:r>
              <w:rPr>
                <w:rFonts w:ascii="宋体" w:hAnsi="宋体"/>
                <w:szCs w:val="21"/>
              </w:rPr>
              <w:t>+</w:t>
            </w:r>
            <w:r>
              <w:rPr>
                <w:rFonts w:hint="eastAsia" w:ascii="宋体" w:hAnsi="宋体"/>
                <w:szCs w:val="21"/>
              </w:rPr>
              <w:t>屋面建筑模型制作、详图大样</w:t>
            </w:r>
            <w:r>
              <w:rPr>
                <w:rFonts w:ascii="宋体" w:hAnsi="宋体"/>
                <w:szCs w:val="21"/>
              </w:rPr>
              <w:t>+</w:t>
            </w:r>
            <w:r>
              <w:rPr>
                <w:rFonts w:hint="eastAsia" w:ascii="宋体" w:hAnsi="宋体"/>
                <w:szCs w:val="21"/>
              </w:rPr>
              <w:t>外立面内饰制作、结构识图及钢筋计量、钢筋模型制作</w:t>
            </w:r>
            <w:bookmarkEnd w:id="434"/>
            <w:bookmarkEnd w:id="435"/>
            <w:bookmarkEnd w:id="436"/>
          </w:p>
          <w:p>
            <w:pPr>
              <w:widowControl/>
              <w:jc w:val="both"/>
              <w:outlineLvl w:val="9"/>
              <w:rPr>
                <w:rFonts w:ascii="宋体" w:cs="宋体"/>
                <w:kern w:val="0"/>
                <w:szCs w:val="21"/>
              </w:rPr>
            </w:pPr>
          </w:p>
        </w:tc>
        <w:tc>
          <w:tcPr>
            <w:tcW w:w="3740" w:type="dxa"/>
            <w:vAlign w:val="center"/>
          </w:tcPr>
          <w:p>
            <w:pPr>
              <w:widowControl/>
              <w:jc w:val="both"/>
              <w:outlineLvl w:val="0"/>
              <w:rPr>
                <w:rFonts w:ascii="宋体" w:cs="宋体"/>
                <w:kern w:val="0"/>
                <w:szCs w:val="21"/>
              </w:rPr>
            </w:pPr>
            <w:bookmarkStart w:id="437" w:name="_Toc10859"/>
            <w:bookmarkStart w:id="438" w:name="_Toc8417"/>
            <w:bookmarkStart w:id="439" w:name="_Toc733"/>
            <w:r>
              <w:rPr>
                <w:rFonts w:hint="eastAsia" w:ascii="宋体" w:hAnsi="宋体"/>
                <w:szCs w:val="21"/>
              </w:rPr>
              <w:t>掌握图纸成图原理，制图规范，了解房屋建筑构造。掌握钢筋下料能力及掌握钢筋工程施工工艺，能够深入识读结构施工图、能剖析结构详图，并了解其做法。</w:t>
            </w:r>
            <w:bookmarkEnd w:id="437"/>
            <w:bookmarkEnd w:id="438"/>
            <w:bookmarkEnd w:id="4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40" w:name="_Toc2483"/>
            <w:bookmarkStart w:id="441" w:name="_Toc4695"/>
            <w:bookmarkStart w:id="442" w:name="_Toc2373"/>
            <w:r>
              <w:rPr>
                <w:rFonts w:hint="eastAsia" w:ascii="宋体" w:hAnsi="宋体" w:cs="宋体"/>
                <w:kern w:val="0"/>
                <w:szCs w:val="21"/>
              </w:rPr>
              <w:t>8</w:t>
            </w:r>
            <w:bookmarkEnd w:id="440"/>
            <w:bookmarkEnd w:id="441"/>
            <w:bookmarkEnd w:id="442"/>
          </w:p>
        </w:tc>
        <w:tc>
          <w:tcPr>
            <w:tcW w:w="857" w:type="dxa"/>
            <w:vAlign w:val="center"/>
          </w:tcPr>
          <w:p>
            <w:pPr>
              <w:widowControl/>
              <w:jc w:val="both"/>
              <w:outlineLvl w:val="0"/>
              <w:rPr>
                <w:rFonts w:ascii="宋体" w:cs="宋体"/>
                <w:kern w:val="0"/>
                <w:szCs w:val="21"/>
              </w:rPr>
            </w:pPr>
            <w:bookmarkStart w:id="443" w:name="_Toc26680"/>
            <w:bookmarkStart w:id="444" w:name="_Toc10105"/>
            <w:bookmarkStart w:id="445" w:name="_Toc25731"/>
            <w:r>
              <w:rPr>
                <w:rFonts w:ascii="宋体" w:hAnsi="宋体"/>
                <w:szCs w:val="21"/>
              </w:rPr>
              <w:t>*</w:t>
            </w:r>
            <w:r>
              <w:rPr>
                <w:rFonts w:hint="eastAsia" w:ascii="宋体" w:hAnsi="宋体"/>
                <w:szCs w:val="21"/>
              </w:rPr>
              <w:t>建筑施工工艺</w:t>
            </w:r>
            <w:bookmarkEnd w:id="443"/>
            <w:bookmarkEnd w:id="444"/>
            <w:bookmarkEnd w:id="445"/>
          </w:p>
        </w:tc>
        <w:tc>
          <w:tcPr>
            <w:tcW w:w="680" w:type="dxa"/>
            <w:vAlign w:val="center"/>
          </w:tcPr>
          <w:p>
            <w:pPr>
              <w:widowControl/>
              <w:jc w:val="both"/>
              <w:outlineLvl w:val="0"/>
              <w:rPr>
                <w:rFonts w:ascii="宋体" w:cs="宋体"/>
                <w:kern w:val="0"/>
                <w:szCs w:val="21"/>
              </w:rPr>
            </w:pPr>
            <w:bookmarkStart w:id="446" w:name="_Toc15680"/>
            <w:bookmarkStart w:id="447" w:name="_Toc7220"/>
            <w:bookmarkStart w:id="448" w:name="_Toc5661"/>
            <w:r>
              <w:rPr>
                <w:rFonts w:hint="eastAsia" w:ascii="宋体" w:hAnsi="宋体" w:cs="宋体"/>
                <w:kern w:val="0"/>
                <w:szCs w:val="21"/>
              </w:rPr>
              <w:t>专业基础课</w:t>
            </w:r>
            <w:bookmarkEnd w:id="446"/>
            <w:bookmarkEnd w:id="447"/>
            <w:bookmarkEnd w:id="448"/>
          </w:p>
        </w:tc>
        <w:tc>
          <w:tcPr>
            <w:tcW w:w="3235" w:type="dxa"/>
            <w:vAlign w:val="center"/>
          </w:tcPr>
          <w:p>
            <w:pPr>
              <w:jc w:val="both"/>
              <w:rPr>
                <w:rFonts w:ascii="宋体"/>
                <w:szCs w:val="21"/>
              </w:rPr>
            </w:pPr>
            <w:r>
              <w:rPr>
                <w:rFonts w:hint="eastAsia" w:ascii="宋体" w:hAnsi="宋体"/>
                <w:szCs w:val="21"/>
              </w:rPr>
              <w:t>一般工业与民用建筑的施工规范和施工程序；建筑施工主要工种的施工方法、施工工艺；主要的施工技术要求、质量验收标准、安全防范措施、施工机械及建筑工程施工测量方法。</w:t>
            </w:r>
          </w:p>
          <w:p>
            <w:pPr>
              <w:widowControl/>
              <w:jc w:val="both"/>
              <w:outlineLvl w:val="9"/>
              <w:rPr>
                <w:rFonts w:ascii="宋体" w:cs="宋体"/>
                <w:kern w:val="0"/>
                <w:szCs w:val="21"/>
              </w:rPr>
            </w:pPr>
          </w:p>
        </w:tc>
        <w:tc>
          <w:tcPr>
            <w:tcW w:w="3740" w:type="dxa"/>
            <w:vAlign w:val="center"/>
          </w:tcPr>
          <w:p>
            <w:pPr>
              <w:widowControl/>
              <w:jc w:val="both"/>
              <w:outlineLvl w:val="0"/>
              <w:rPr>
                <w:rFonts w:ascii="宋体" w:cs="宋体"/>
                <w:kern w:val="0"/>
                <w:szCs w:val="21"/>
              </w:rPr>
            </w:pPr>
            <w:bookmarkStart w:id="449" w:name="_Toc31570"/>
            <w:bookmarkStart w:id="450" w:name="_Toc3981"/>
            <w:bookmarkStart w:id="451" w:name="_Toc21035"/>
            <w:r>
              <w:rPr>
                <w:rFonts w:hint="eastAsia" w:ascii="宋体" w:hAnsi="宋体"/>
                <w:szCs w:val="21"/>
              </w:rPr>
              <w:t>培养学生扎实的建筑施工工艺理论知识和实践认识，具备识别一般工业与民用建筑各分部分项工程施工方法和施工工艺的能力；基本的施工现场管理能力；具有简单构件的算量能力。注重培养学生良好的职业素质，为学生毕业后从事建筑施工管理、工程监理、建筑设计等相关专业打下基础。</w:t>
            </w:r>
            <w:bookmarkEnd w:id="449"/>
            <w:bookmarkEnd w:id="450"/>
            <w:bookmarkEnd w:id="4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52" w:name="_Toc7371"/>
            <w:bookmarkStart w:id="453" w:name="_Toc14106"/>
            <w:bookmarkStart w:id="454" w:name="_Toc32219"/>
            <w:r>
              <w:rPr>
                <w:rFonts w:hint="eastAsia" w:ascii="宋体" w:hAnsi="宋体" w:cs="宋体"/>
                <w:kern w:val="0"/>
                <w:szCs w:val="21"/>
              </w:rPr>
              <w:t>9</w:t>
            </w:r>
            <w:bookmarkEnd w:id="452"/>
            <w:bookmarkEnd w:id="453"/>
            <w:bookmarkEnd w:id="454"/>
          </w:p>
        </w:tc>
        <w:tc>
          <w:tcPr>
            <w:tcW w:w="857" w:type="dxa"/>
            <w:vAlign w:val="center"/>
          </w:tcPr>
          <w:p>
            <w:pPr>
              <w:widowControl/>
              <w:jc w:val="both"/>
              <w:outlineLvl w:val="0"/>
              <w:rPr>
                <w:rFonts w:ascii="宋体" w:cs="宋体"/>
                <w:kern w:val="0"/>
                <w:szCs w:val="21"/>
              </w:rPr>
            </w:pPr>
            <w:bookmarkStart w:id="455" w:name="_Toc11204"/>
            <w:bookmarkStart w:id="456" w:name="_Toc6423"/>
            <w:bookmarkStart w:id="457" w:name="_Toc24371"/>
            <w:r>
              <w:rPr>
                <w:rFonts w:hint="eastAsia" w:ascii="宋体" w:hAnsi="宋体"/>
                <w:szCs w:val="21"/>
              </w:rPr>
              <w:t>工程测量</w:t>
            </w:r>
            <w:bookmarkEnd w:id="455"/>
            <w:bookmarkEnd w:id="456"/>
            <w:bookmarkEnd w:id="457"/>
          </w:p>
        </w:tc>
        <w:tc>
          <w:tcPr>
            <w:tcW w:w="680" w:type="dxa"/>
            <w:vAlign w:val="center"/>
          </w:tcPr>
          <w:p>
            <w:pPr>
              <w:widowControl/>
              <w:jc w:val="both"/>
              <w:outlineLvl w:val="0"/>
              <w:rPr>
                <w:rFonts w:ascii="宋体" w:cs="宋体"/>
                <w:kern w:val="0"/>
                <w:szCs w:val="21"/>
              </w:rPr>
            </w:pPr>
            <w:bookmarkStart w:id="458" w:name="_Toc20830"/>
            <w:bookmarkStart w:id="459" w:name="_Toc4318"/>
            <w:bookmarkStart w:id="460" w:name="_Toc23781"/>
            <w:r>
              <w:rPr>
                <w:rFonts w:hint="eastAsia" w:ascii="宋体" w:hAnsi="宋体" w:cs="宋体"/>
                <w:kern w:val="0"/>
                <w:szCs w:val="21"/>
              </w:rPr>
              <w:t>专业基础课</w:t>
            </w:r>
            <w:bookmarkEnd w:id="458"/>
            <w:bookmarkEnd w:id="459"/>
            <w:bookmarkEnd w:id="460"/>
          </w:p>
        </w:tc>
        <w:tc>
          <w:tcPr>
            <w:tcW w:w="3235" w:type="dxa"/>
            <w:vAlign w:val="center"/>
          </w:tcPr>
          <w:p>
            <w:pPr>
              <w:widowControl/>
              <w:jc w:val="both"/>
              <w:outlineLvl w:val="0"/>
              <w:rPr>
                <w:rFonts w:ascii="宋体" w:cs="宋体"/>
                <w:kern w:val="0"/>
                <w:szCs w:val="21"/>
              </w:rPr>
            </w:pPr>
            <w:bookmarkStart w:id="461" w:name="_Toc8942"/>
            <w:bookmarkStart w:id="462" w:name="_Toc6466"/>
            <w:bookmarkStart w:id="463" w:name="_Toc20941"/>
            <w:r>
              <w:rPr>
                <w:rFonts w:hint="eastAsia" w:ascii="宋体" w:hAnsi="宋体"/>
                <w:kern w:val="10"/>
                <w:szCs w:val="21"/>
              </w:rPr>
              <w:t>测量仪器操作的强化训练考核；闭合水准路线测量；用水准仪进行高程测设；用经纬仪测设水平角和竖直角；用全站仪进行定位放线。</w:t>
            </w:r>
            <w:bookmarkEnd w:id="461"/>
            <w:bookmarkEnd w:id="462"/>
            <w:bookmarkEnd w:id="463"/>
          </w:p>
        </w:tc>
        <w:tc>
          <w:tcPr>
            <w:tcW w:w="3740" w:type="dxa"/>
            <w:vAlign w:val="center"/>
          </w:tcPr>
          <w:p>
            <w:pPr>
              <w:adjustRightInd w:val="0"/>
              <w:snapToGrid w:val="0"/>
              <w:jc w:val="both"/>
              <w:rPr>
                <w:rFonts w:ascii="宋体" w:cs="宋体"/>
                <w:kern w:val="0"/>
                <w:szCs w:val="21"/>
              </w:rPr>
            </w:pPr>
            <w:r>
              <w:rPr>
                <w:rFonts w:hint="eastAsia" w:ascii="宋体" w:hAnsi="宋体"/>
                <w:szCs w:val="21"/>
              </w:rPr>
              <w:t>培养学生吃苦耐劳、爱岗敬业的职业道德，使学生具备建筑业施工现场岗位必备的建筑工程测量知识及技能，具有承担建筑工程施工定位、放样的能力和其它测量工作的能力。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64" w:name="_Toc31060"/>
            <w:bookmarkStart w:id="465" w:name="_Toc5664"/>
            <w:bookmarkStart w:id="466" w:name="_Toc28553"/>
            <w:r>
              <w:rPr>
                <w:rFonts w:hint="eastAsia" w:ascii="宋体" w:hAnsi="宋体" w:cs="宋体"/>
                <w:kern w:val="0"/>
                <w:szCs w:val="21"/>
              </w:rPr>
              <w:t>10</w:t>
            </w:r>
            <w:bookmarkEnd w:id="464"/>
            <w:bookmarkEnd w:id="465"/>
            <w:bookmarkEnd w:id="466"/>
          </w:p>
        </w:tc>
        <w:tc>
          <w:tcPr>
            <w:tcW w:w="857" w:type="dxa"/>
            <w:vAlign w:val="center"/>
          </w:tcPr>
          <w:p>
            <w:pPr>
              <w:widowControl/>
              <w:jc w:val="both"/>
              <w:outlineLvl w:val="0"/>
              <w:rPr>
                <w:rFonts w:ascii="宋体" w:hAnsi="宋体"/>
                <w:szCs w:val="21"/>
              </w:rPr>
            </w:pPr>
            <w:bookmarkStart w:id="467" w:name="_Toc7766"/>
            <w:bookmarkStart w:id="468" w:name="_Toc28122"/>
            <w:bookmarkStart w:id="469" w:name="_Toc3499"/>
            <w:r>
              <w:rPr>
                <w:rFonts w:hint="eastAsia" w:ascii="宋体" w:hAnsi="宋体"/>
                <w:szCs w:val="21"/>
              </w:rPr>
              <w:t>专业认知实习</w:t>
            </w:r>
            <w:bookmarkEnd w:id="467"/>
            <w:bookmarkEnd w:id="468"/>
            <w:bookmarkEnd w:id="469"/>
          </w:p>
        </w:tc>
        <w:tc>
          <w:tcPr>
            <w:tcW w:w="680" w:type="dxa"/>
            <w:vAlign w:val="center"/>
          </w:tcPr>
          <w:p>
            <w:pPr>
              <w:widowControl/>
              <w:jc w:val="both"/>
              <w:outlineLvl w:val="0"/>
              <w:rPr>
                <w:rFonts w:ascii="宋体" w:hAnsi="宋体" w:cs="宋体"/>
                <w:kern w:val="0"/>
                <w:szCs w:val="21"/>
              </w:rPr>
            </w:pPr>
            <w:bookmarkStart w:id="470" w:name="_Toc23136"/>
            <w:bookmarkStart w:id="471" w:name="_Toc2655"/>
            <w:bookmarkStart w:id="472" w:name="_Toc18228"/>
            <w:r>
              <w:rPr>
                <w:rFonts w:hint="eastAsia" w:ascii="宋体" w:hAnsi="宋体" w:cs="宋体"/>
                <w:kern w:val="0"/>
                <w:szCs w:val="21"/>
              </w:rPr>
              <w:t>专业基础课</w:t>
            </w:r>
            <w:bookmarkEnd w:id="470"/>
            <w:bookmarkEnd w:id="471"/>
            <w:bookmarkEnd w:id="472"/>
          </w:p>
        </w:tc>
        <w:tc>
          <w:tcPr>
            <w:tcW w:w="3235" w:type="dxa"/>
            <w:vAlign w:val="center"/>
          </w:tcPr>
          <w:p>
            <w:pPr>
              <w:widowControl/>
              <w:jc w:val="both"/>
              <w:outlineLvl w:val="0"/>
              <w:rPr>
                <w:rFonts w:ascii="宋体" w:hAnsi="宋体"/>
                <w:kern w:val="10"/>
                <w:szCs w:val="21"/>
              </w:rPr>
            </w:pPr>
            <w:bookmarkStart w:id="473" w:name="_Toc31233"/>
            <w:bookmarkStart w:id="474" w:name="_Toc23972"/>
            <w:bookmarkStart w:id="475" w:name="_Toc12539"/>
            <w:r>
              <w:rPr>
                <w:rFonts w:hint="eastAsia" w:ascii="宋体" w:hAnsi="宋体"/>
                <w:kern w:val="10"/>
                <w:szCs w:val="21"/>
              </w:rPr>
              <w:t>进入施工企业参观建筑工地，了解</w:t>
            </w:r>
            <w:r>
              <w:rPr>
                <w:rFonts w:hint="eastAsia"/>
                <w:szCs w:val="21"/>
              </w:rPr>
              <w:t>房屋建筑的基本构造及施工流程。</w:t>
            </w:r>
            <w:bookmarkEnd w:id="473"/>
            <w:bookmarkEnd w:id="474"/>
            <w:bookmarkEnd w:id="475"/>
          </w:p>
        </w:tc>
        <w:tc>
          <w:tcPr>
            <w:tcW w:w="3740" w:type="dxa"/>
            <w:vAlign w:val="center"/>
          </w:tcPr>
          <w:p>
            <w:pPr>
              <w:adjustRightInd w:val="0"/>
              <w:snapToGrid w:val="0"/>
              <w:jc w:val="both"/>
              <w:rPr>
                <w:rFonts w:ascii="宋体" w:hAnsi="宋体"/>
                <w:szCs w:val="21"/>
              </w:rPr>
            </w:pPr>
            <w:r>
              <w:rPr>
                <w:rFonts w:hint="eastAsia" w:ascii="宋体" w:hAnsi="宋体" w:cs="仿宋_GB2312"/>
                <w:kern w:val="10"/>
                <w:szCs w:val="21"/>
              </w:rPr>
              <w:t>通过实习初步了解工程造价专业</w:t>
            </w:r>
            <w:r>
              <w:rPr>
                <w:rFonts w:ascii="宋体" w:hAnsi="宋体" w:cs="宋体"/>
                <w:color w:val="000000"/>
                <w:kern w:val="0"/>
                <w:szCs w:val="21"/>
              </w:rPr>
              <w:t>相关人员的岗位职责</w:t>
            </w:r>
            <w:r>
              <w:rPr>
                <w:rFonts w:hint="eastAsia" w:ascii="宋体" w:hAnsi="宋体" w:cs="宋体"/>
                <w:color w:val="000000"/>
                <w:kern w:val="0"/>
                <w:szCs w:val="21"/>
              </w:rPr>
              <w:t>，</w:t>
            </w:r>
            <w:r>
              <w:rPr>
                <w:rFonts w:ascii="宋体" w:hAnsi="宋体" w:cs="宋体"/>
                <w:color w:val="000000"/>
                <w:kern w:val="0"/>
                <w:szCs w:val="21"/>
              </w:rPr>
              <w:t>增强对</w:t>
            </w:r>
            <w:r>
              <w:rPr>
                <w:rFonts w:hint="eastAsia" w:ascii="宋体" w:hAnsi="宋体" w:cs="宋体"/>
                <w:color w:val="000000"/>
                <w:kern w:val="0"/>
                <w:szCs w:val="21"/>
              </w:rPr>
              <w:t>房屋建筑构造</w:t>
            </w:r>
            <w:r>
              <w:rPr>
                <w:rFonts w:ascii="宋体" w:hAnsi="宋体" w:cs="宋体"/>
                <w:color w:val="000000"/>
                <w:kern w:val="0"/>
                <w:szCs w:val="21"/>
              </w:rPr>
              <w:t>的感性认识</w:t>
            </w:r>
            <w:r>
              <w:rPr>
                <w:rFonts w:hint="eastAsia" w:ascii="宋体" w:hAnsi="宋体" w:cs="仿宋_GB2312"/>
                <w:kern w:val="10"/>
                <w:szCs w:val="21"/>
              </w:rPr>
              <w:t>，为学生专业课程学习及就业奠定坚实基础。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76" w:name="_Toc24851"/>
            <w:bookmarkStart w:id="477" w:name="_Toc28042"/>
            <w:bookmarkStart w:id="478" w:name="_Toc31212"/>
            <w:r>
              <w:rPr>
                <w:rFonts w:ascii="宋体" w:hAnsi="宋体" w:cs="宋体"/>
                <w:kern w:val="0"/>
                <w:szCs w:val="21"/>
              </w:rPr>
              <w:t>1</w:t>
            </w:r>
            <w:r>
              <w:rPr>
                <w:rFonts w:hint="eastAsia" w:ascii="宋体" w:hAnsi="宋体" w:cs="宋体"/>
                <w:kern w:val="0"/>
                <w:szCs w:val="21"/>
              </w:rPr>
              <w:t>1</w:t>
            </w:r>
            <w:bookmarkEnd w:id="476"/>
            <w:bookmarkEnd w:id="477"/>
            <w:bookmarkEnd w:id="478"/>
          </w:p>
        </w:tc>
        <w:tc>
          <w:tcPr>
            <w:tcW w:w="857" w:type="dxa"/>
            <w:vAlign w:val="center"/>
          </w:tcPr>
          <w:p>
            <w:pPr>
              <w:widowControl/>
              <w:jc w:val="both"/>
              <w:outlineLvl w:val="0"/>
              <w:rPr>
                <w:rFonts w:ascii="宋体" w:hAnsi="宋体"/>
                <w:szCs w:val="21"/>
              </w:rPr>
            </w:pPr>
            <w:bookmarkStart w:id="479" w:name="_Toc22128"/>
            <w:bookmarkStart w:id="480" w:name="_Toc21542"/>
            <w:bookmarkStart w:id="481" w:name="_Toc28665"/>
            <w:r>
              <w:rPr>
                <w:rFonts w:hint="eastAsia" w:ascii="宋体" w:hAnsi="宋体"/>
                <w:szCs w:val="21"/>
              </w:rPr>
              <w:t>专业岗位实践</w:t>
            </w:r>
            <w:bookmarkEnd w:id="479"/>
            <w:bookmarkEnd w:id="480"/>
            <w:bookmarkEnd w:id="481"/>
          </w:p>
        </w:tc>
        <w:tc>
          <w:tcPr>
            <w:tcW w:w="680" w:type="dxa"/>
            <w:vAlign w:val="center"/>
          </w:tcPr>
          <w:p>
            <w:pPr>
              <w:widowControl/>
              <w:jc w:val="both"/>
              <w:outlineLvl w:val="0"/>
              <w:rPr>
                <w:rFonts w:ascii="宋体" w:hAnsi="宋体" w:cs="宋体"/>
                <w:kern w:val="0"/>
                <w:szCs w:val="21"/>
              </w:rPr>
            </w:pPr>
            <w:bookmarkStart w:id="482" w:name="_Toc16719"/>
            <w:bookmarkStart w:id="483" w:name="_Toc794"/>
            <w:bookmarkStart w:id="484" w:name="_Toc12322"/>
            <w:r>
              <w:rPr>
                <w:rFonts w:hint="eastAsia" w:ascii="宋体" w:hAnsi="宋体" w:cs="宋体"/>
                <w:kern w:val="0"/>
                <w:szCs w:val="21"/>
              </w:rPr>
              <w:t>专业基础课</w:t>
            </w:r>
            <w:bookmarkEnd w:id="482"/>
            <w:bookmarkEnd w:id="483"/>
            <w:bookmarkEnd w:id="484"/>
          </w:p>
        </w:tc>
        <w:tc>
          <w:tcPr>
            <w:tcW w:w="3235" w:type="dxa"/>
            <w:vAlign w:val="center"/>
          </w:tcPr>
          <w:p>
            <w:pPr>
              <w:adjustRightInd w:val="0"/>
              <w:snapToGrid w:val="0"/>
              <w:jc w:val="both"/>
              <w:rPr>
                <w:rFonts w:ascii="宋体" w:hAnsi="宋体"/>
                <w:kern w:val="10"/>
                <w:szCs w:val="21"/>
              </w:rPr>
            </w:pPr>
            <w:r>
              <w:rPr>
                <w:rFonts w:hint="eastAsia" w:ascii="宋体" w:hAnsi="宋体"/>
                <w:kern w:val="10"/>
                <w:szCs w:val="21"/>
              </w:rPr>
              <w:t>以技术人员助手的身份参加现场造价管理、施工、监理或设计工作</w:t>
            </w:r>
          </w:p>
        </w:tc>
        <w:tc>
          <w:tcPr>
            <w:tcW w:w="3740" w:type="dxa"/>
            <w:vAlign w:val="center"/>
          </w:tcPr>
          <w:p>
            <w:pPr>
              <w:adjustRightInd w:val="0"/>
              <w:snapToGrid w:val="0"/>
              <w:jc w:val="both"/>
              <w:rPr>
                <w:rFonts w:ascii="宋体" w:hAnsi="宋体"/>
                <w:szCs w:val="21"/>
              </w:rPr>
            </w:pPr>
            <w:r>
              <w:rPr>
                <w:rFonts w:hint="eastAsia" w:ascii="宋体" w:hAnsi="宋体"/>
                <w:szCs w:val="21"/>
              </w:rPr>
              <w:t>通过深入企业实际，巩固专业基础所学理论知识，完成实习指导人所布置的各项工作任务，为下一步顶岗实习及毕业后从业专业工作奠定坚实的基础。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85" w:name="_Toc32701"/>
            <w:bookmarkStart w:id="486" w:name="_Toc7385"/>
            <w:bookmarkStart w:id="487" w:name="_Toc2538"/>
            <w:r>
              <w:rPr>
                <w:rFonts w:hint="eastAsia" w:ascii="宋体" w:hAnsi="宋体" w:cs="宋体"/>
                <w:kern w:val="0"/>
                <w:szCs w:val="21"/>
              </w:rPr>
              <w:t>12</w:t>
            </w:r>
            <w:bookmarkEnd w:id="485"/>
            <w:bookmarkEnd w:id="486"/>
            <w:bookmarkEnd w:id="487"/>
          </w:p>
        </w:tc>
        <w:tc>
          <w:tcPr>
            <w:tcW w:w="857" w:type="dxa"/>
            <w:vAlign w:val="center"/>
          </w:tcPr>
          <w:p>
            <w:pPr>
              <w:widowControl/>
              <w:jc w:val="both"/>
              <w:outlineLvl w:val="0"/>
              <w:rPr>
                <w:rFonts w:ascii="宋体" w:hAnsi="宋体"/>
                <w:szCs w:val="21"/>
              </w:rPr>
            </w:pPr>
            <w:bookmarkStart w:id="488" w:name="_Toc26500"/>
            <w:bookmarkStart w:id="489" w:name="_Toc12026"/>
            <w:bookmarkStart w:id="490" w:name="_Toc27191"/>
            <w:r>
              <w:rPr>
                <w:rFonts w:ascii="宋体" w:hAnsi="宋体"/>
                <w:szCs w:val="21"/>
              </w:rPr>
              <w:t>*</w:t>
            </w:r>
            <w:r>
              <w:rPr>
                <w:rFonts w:hint="eastAsia" w:ascii="宋体" w:hAnsi="宋体"/>
                <w:szCs w:val="21"/>
              </w:rPr>
              <w:t>建设工程项目管理</w:t>
            </w:r>
            <w:bookmarkEnd w:id="488"/>
            <w:bookmarkEnd w:id="489"/>
            <w:bookmarkEnd w:id="490"/>
          </w:p>
        </w:tc>
        <w:tc>
          <w:tcPr>
            <w:tcW w:w="680" w:type="dxa"/>
            <w:vAlign w:val="center"/>
          </w:tcPr>
          <w:p>
            <w:pPr>
              <w:widowControl/>
              <w:jc w:val="both"/>
              <w:outlineLvl w:val="0"/>
              <w:rPr>
                <w:rFonts w:ascii="宋体" w:hAnsi="宋体" w:cs="宋体"/>
                <w:kern w:val="0"/>
                <w:szCs w:val="21"/>
              </w:rPr>
            </w:pPr>
            <w:bookmarkStart w:id="491" w:name="_Toc9835"/>
            <w:bookmarkStart w:id="492" w:name="_Toc8426"/>
            <w:bookmarkStart w:id="493" w:name="_Toc2839"/>
            <w:r>
              <w:rPr>
                <w:rFonts w:hint="eastAsia" w:ascii="宋体" w:hAnsi="宋体" w:cs="宋体"/>
                <w:kern w:val="0"/>
                <w:szCs w:val="21"/>
              </w:rPr>
              <w:t>专业课</w:t>
            </w:r>
            <w:bookmarkEnd w:id="491"/>
            <w:bookmarkEnd w:id="492"/>
            <w:bookmarkEnd w:id="493"/>
          </w:p>
        </w:tc>
        <w:tc>
          <w:tcPr>
            <w:tcW w:w="3235" w:type="dxa"/>
            <w:vAlign w:val="center"/>
          </w:tcPr>
          <w:p>
            <w:pPr>
              <w:adjustRightInd w:val="0"/>
              <w:snapToGrid w:val="0"/>
              <w:jc w:val="both"/>
              <w:rPr>
                <w:rFonts w:ascii="宋体" w:hAnsi="宋体"/>
                <w:kern w:val="10"/>
                <w:szCs w:val="21"/>
              </w:rPr>
            </w:pPr>
            <w:r>
              <w:rPr>
                <w:rFonts w:hint="eastAsia" w:ascii="宋体" w:hAnsi="宋体"/>
                <w:kern w:val="10"/>
                <w:szCs w:val="21"/>
              </w:rPr>
              <w:t>工程项目管理的相关概念、生命周期、工程项目管理模式、各参与方的项目管理、项目管理规划、工程项目信息管理、项目资源管理、质量管理、安全管理、项目收尾管理与后评价等。</w:t>
            </w:r>
          </w:p>
        </w:tc>
        <w:tc>
          <w:tcPr>
            <w:tcW w:w="3740" w:type="dxa"/>
            <w:vAlign w:val="center"/>
          </w:tcPr>
          <w:p>
            <w:pPr>
              <w:adjustRightInd w:val="0"/>
              <w:snapToGrid w:val="0"/>
              <w:jc w:val="both"/>
              <w:rPr>
                <w:rFonts w:ascii="宋体" w:hAnsi="宋体"/>
                <w:szCs w:val="21"/>
              </w:rPr>
            </w:pPr>
            <w:r>
              <w:rPr>
                <w:rFonts w:hint="eastAsia" w:ascii="宋体" w:hAnsi="宋体"/>
                <w:kern w:val="10"/>
                <w:szCs w:val="21"/>
              </w:rPr>
              <w:t>培养学生综合分析和解决问题的能力，掌握工程项目成本费用管理、进度、质量等目标的管理与控制技术、方法，掌握工程项目合同管理的常用技术与方法。学生能够解读招标文件；解读合同文本、撰写索赔报告；能根据工作岗位要求，从事建筑施工现场工程项目管理工作，具有解决工程项目管理实际问题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494" w:name="_Toc10416"/>
            <w:bookmarkStart w:id="495" w:name="_Toc16081"/>
            <w:bookmarkStart w:id="496" w:name="_Toc784"/>
            <w:r>
              <w:rPr>
                <w:rFonts w:ascii="宋体" w:hAnsi="宋体" w:cs="宋体"/>
                <w:kern w:val="0"/>
                <w:szCs w:val="21"/>
              </w:rPr>
              <w:t>13</w:t>
            </w:r>
            <w:bookmarkEnd w:id="494"/>
            <w:bookmarkEnd w:id="495"/>
            <w:bookmarkEnd w:id="496"/>
          </w:p>
        </w:tc>
        <w:tc>
          <w:tcPr>
            <w:tcW w:w="857" w:type="dxa"/>
            <w:vAlign w:val="center"/>
          </w:tcPr>
          <w:p>
            <w:pPr>
              <w:widowControl/>
              <w:jc w:val="both"/>
              <w:outlineLvl w:val="0"/>
              <w:rPr>
                <w:rFonts w:hint="eastAsia" w:ascii="宋体" w:eastAsia="宋体" w:cs="宋体"/>
                <w:kern w:val="0"/>
                <w:szCs w:val="21"/>
                <w:lang w:eastAsia="zh-CN"/>
              </w:rPr>
            </w:pPr>
            <w:bookmarkStart w:id="497" w:name="_Toc16356"/>
            <w:bookmarkStart w:id="498" w:name="_Toc1003"/>
            <w:bookmarkStart w:id="499" w:name="_Toc27526"/>
            <w:r>
              <w:rPr>
                <w:rFonts w:ascii="宋体" w:hAnsi="宋体"/>
                <w:szCs w:val="21"/>
              </w:rPr>
              <w:t>*</w:t>
            </w:r>
            <w:r>
              <w:rPr>
                <w:rFonts w:hint="eastAsia" w:ascii="宋体" w:hAnsi="宋体"/>
                <w:szCs w:val="21"/>
                <w:lang w:eastAsia="zh-CN"/>
              </w:rPr>
              <w:t>建筑工程计量与计价实务</w:t>
            </w:r>
            <w:bookmarkEnd w:id="497"/>
            <w:bookmarkEnd w:id="498"/>
            <w:bookmarkEnd w:id="499"/>
          </w:p>
        </w:tc>
        <w:tc>
          <w:tcPr>
            <w:tcW w:w="680" w:type="dxa"/>
            <w:vAlign w:val="center"/>
          </w:tcPr>
          <w:p>
            <w:pPr>
              <w:widowControl/>
              <w:jc w:val="both"/>
              <w:outlineLvl w:val="0"/>
              <w:rPr>
                <w:rFonts w:ascii="宋体" w:cs="宋体"/>
                <w:kern w:val="0"/>
                <w:szCs w:val="21"/>
              </w:rPr>
            </w:pPr>
            <w:bookmarkStart w:id="500" w:name="_Toc20337"/>
            <w:bookmarkStart w:id="501" w:name="_Toc10848"/>
            <w:bookmarkStart w:id="502" w:name="_Toc24689"/>
            <w:r>
              <w:rPr>
                <w:rFonts w:hint="eastAsia" w:ascii="宋体" w:hAnsi="宋体" w:cs="宋体"/>
                <w:kern w:val="0"/>
                <w:szCs w:val="21"/>
              </w:rPr>
              <w:t>专业课</w:t>
            </w:r>
            <w:bookmarkEnd w:id="500"/>
            <w:bookmarkEnd w:id="501"/>
            <w:bookmarkEnd w:id="502"/>
          </w:p>
        </w:tc>
        <w:tc>
          <w:tcPr>
            <w:tcW w:w="3235" w:type="dxa"/>
            <w:vAlign w:val="center"/>
          </w:tcPr>
          <w:p>
            <w:pPr>
              <w:widowControl/>
              <w:jc w:val="both"/>
              <w:outlineLvl w:val="0"/>
              <w:rPr>
                <w:rFonts w:ascii="宋体" w:cs="宋体"/>
                <w:kern w:val="0"/>
                <w:szCs w:val="21"/>
              </w:rPr>
            </w:pPr>
            <w:bookmarkStart w:id="503" w:name="_Toc21436"/>
            <w:bookmarkStart w:id="504" w:name="_Toc7973"/>
            <w:bookmarkStart w:id="505" w:name="_Toc22650"/>
            <w:r>
              <w:rPr>
                <w:rFonts w:hint="eastAsia" w:ascii="宋体" w:hAnsi="宋体"/>
                <w:szCs w:val="21"/>
              </w:rPr>
              <w:t>工程造价基础知识，定额编制原理及套用，土石方工程计量与计价，基础工程计量与计价，主体结构工程计量与计价，屋面及装修工程计量与计价，计价软件应用，建筑面积及相关措施项目计量与计价等</w:t>
            </w:r>
            <w:bookmarkEnd w:id="503"/>
            <w:bookmarkEnd w:id="504"/>
            <w:bookmarkEnd w:id="505"/>
          </w:p>
        </w:tc>
        <w:tc>
          <w:tcPr>
            <w:tcW w:w="3740" w:type="dxa"/>
            <w:vAlign w:val="center"/>
          </w:tcPr>
          <w:p>
            <w:pPr>
              <w:widowControl/>
              <w:jc w:val="both"/>
              <w:outlineLvl w:val="0"/>
              <w:rPr>
                <w:rFonts w:ascii="宋体" w:cs="宋体"/>
                <w:kern w:val="0"/>
                <w:szCs w:val="21"/>
              </w:rPr>
            </w:pPr>
            <w:bookmarkStart w:id="506" w:name="_Toc22198"/>
            <w:bookmarkStart w:id="507" w:name="_Toc27672"/>
            <w:bookmarkStart w:id="508" w:name="_Toc1776"/>
            <w:r>
              <w:rPr>
                <w:rFonts w:hint="eastAsia" w:ascii="宋体" w:hAnsi="宋体"/>
                <w:szCs w:val="21"/>
              </w:rPr>
              <w:t>培养工程造价从业人员素养，掌握建筑工程、装饰装修工程各分部分项工程项目的计量与计价的知识；工程费用计算的方法，能根据计量规则熟练计算建筑工程、装饰装修工程的工程量，并根据现行计价程序及计价规则编制施工图预结算文件，具有一定的工程量清单计量计价能力及能够根据清单计价规则编制清单预算的专业人才。</w:t>
            </w:r>
            <w:bookmarkEnd w:id="506"/>
            <w:bookmarkEnd w:id="507"/>
            <w:bookmarkEnd w:id="5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509" w:name="_Toc25646"/>
            <w:bookmarkStart w:id="510" w:name="_Toc6253"/>
            <w:bookmarkStart w:id="511" w:name="_Toc9993"/>
            <w:r>
              <w:rPr>
                <w:rFonts w:hint="eastAsia" w:ascii="宋体" w:hAnsi="宋体" w:cs="宋体"/>
                <w:kern w:val="0"/>
                <w:szCs w:val="21"/>
              </w:rPr>
              <w:t>14</w:t>
            </w:r>
            <w:bookmarkEnd w:id="509"/>
            <w:bookmarkEnd w:id="510"/>
            <w:bookmarkEnd w:id="511"/>
          </w:p>
        </w:tc>
        <w:tc>
          <w:tcPr>
            <w:tcW w:w="857" w:type="dxa"/>
            <w:vAlign w:val="center"/>
          </w:tcPr>
          <w:p>
            <w:pPr>
              <w:widowControl/>
              <w:jc w:val="both"/>
              <w:outlineLvl w:val="0"/>
              <w:rPr>
                <w:rFonts w:ascii="宋体" w:hAnsi="宋体"/>
                <w:szCs w:val="21"/>
              </w:rPr>
            </w:pPr>
            <w:bookmarkStart w:id="512" w:name="_Toc26308"/>
            <w:bookmarkStart w:id="513" w:name="_Toc23313"/>
            <w:bookmarkStart w:id="514" w:name="_Toc14016"/>
            <w:r>
              <w:rPr>
                <w:rFonts w:hint="eastAsia" w:ascii="宋体" w:hAnsi="宋体"/>
                <w:szCs w:val="21"/>
              </w:rPr>
              <w:t>建设工程经济</w:t>
            </w:r>
            <w:bookmarkEnd w:id="512"/>
            <w:bookmarkEnd w:id="513"/>
            <w:bookmarkEnd w:id="514"/>
          </w:p>
        </w:tc>
        <w:tc>
          <w:tcPr>
            <w:tcW w:w="680" w:type="dxa"/>
            <w:vAlign w:val="center"/>
          </w:tcPr>
          <w:p>
            <w:pPr>
              <w:widowControl/>
              <w:jc w:val="both"/>
              <w:outlineLvl w:val="0"/>
              <w:rPr>
                <w:rFonts w:ascii="宋体" w:hAnsi="宋体" w:cs="宋体"/>
                <w:kern w:val="0"/>
                <w:szCs w:val="21"/>
              </w:rPr>
            </w:pPr>
            <w:bookmarkStart w:id="515" w:name="_Toc21365"/>
            <w:bookmarkStart w:id="516" w:name="_Toc30889"/>
            <w:bookmarkStart w:id="517" w:name="_Toc8262"/>
            <w:r>
              <w:rPr>
                <w:rFonts w:hint="eastAsia" w:ascii="宋体" w:hAnsi="宋体" w:cs="宋体"/>
                <w:kern w:val="0"/>
                <w:szCs w:val="21"/>
              </w:rPr>
              <w:t>专业课</w:t>
            </w:r>
            <w:bookmarkEnd w:id="515"/>
            <w:bookmarkEnd w:id="516"/>
            <w:bookmarkEnd w:id="517"/>
          </w:p>
        </w:tc>
        <w:tc>
          <w:tcPr>
            <w:tcW w:w="3235" w:type="dxa"/>
            <w:vAlign w:val="center"/>
          </w:tcPr>
          <w:p>
            <w:pPr>
              <w:widowControl/>
              <w:jc w:val="both"/>
              <w:outlineLvl w:val="0"/>
              <w:rPr>
                <w:rFonts w:ascii="宋体" w:hAnsi="宋体"/>
                <w:szCs w:val="21"/>
              </w:rPr>
            </w:pPr>
            <w:bookmarkStart w:id="518" w:name="_Toc4021"/>
            <w:bookmarkStart w:id="519" w:name="_Toc31241"/>
            <w:bookmarkStart w:id="520" w:name="_Toc8105"/>
            <w:r>
              <w:rPr>
                <w:rFonts w:hint="eastAsia" w:ascii="宋体" w:hAnsi="宋体"/>
                <w:szCs w:val="21"/>
              </w:rPr>
              <w:t>工程经济基础知识，资金时间价值的计算，价值工程的应用，投资方案的比选，设备更新，不确定性分析在工程分析中的应用。</w:t>
            </w:r>
            <w:bookmarkEnd w:id="518"/>
            <w:bookmarkEnd w:id="519"/>
            <w:bookmarkEnd w:id="520"/>
          </w:p>
        </w:tc>
        <w:tc>
          <w:tcPr>
            <w:tcW w:w="3740" w:type="dxa"/>
            <w:vAlign w:val="center"/>
          </w:tcPr>
          <w:p>
            <w:pPr>
              <w:widowControl/>
              <w:jc w:val="both"/>
              <w:outlineLvl w:val="0"/>
              <w:rPr>
                <w:rFonts w:ascii="宋体" w:hAnsi="宋体"/>
                <w:szCs w:val="21"/>
              </w:rPr>
            </w:pPr>
            <w:bookmarkStart w:id="521" w:name="_Toc29931"/>
            <w:bookmarkStart w:id="522" w:name="_Toc1890"/>
            <w:bookmarkStart w:id="523" w:name="_Toc7117"/>
            <w:r>
              <w:rPr>
                <w:rFonts w:hint="eastAsia" w:ascii="宋体" w:hAnsi="宋体"/>
                <w:szCs w:val="21"/>
              </w:rPr>
              <w:t>培养学生勤奋向上，严肃认真，踏实对待工作的态度，有一定工程经济计算分析能力，能运用工程经济评价方法进行方案的比选。</w:t>
            </w:r>
            <w:bookmarkEnd w:id="521"/>
            <w:bookmarkEnd w:id="522"/>
            <w:bookmarkEnd w:id="5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524" w:name="_Toc21658"/>
            <w:bookmarkStart w:id="525" w:name="_Toc2842"/>
            <w:bookmarkStart w:id="526" w:name="_Toc28134"/>
            <w:r>
              <w:rPr>
                <w:rFonts w:ascii="宋体" w:hAnsi="宋体" w:cs="宋体"/>
                <w:kern w:val="0"/>
                <w:szCs w:val="21"/>
              </w:rPr>
              <w:t>15</w:t>
            </w:r>
            <w:bookmarkEnd w:id="524"/>
            <w:bookmarkEnd w:id="525"/>
            <w:bookmarkEnd w:id="526"/>
          </w:p>
        </w:tc>
        <w:tc>
          <w:tcPr>
            <w:tcW w:w="857" w:type="dxa"/>
            <w:vAlign w:val="center"/>
          </w:tcPr>
          <w:p>
            <w:pPr>
              <w:widowControl/>
              <w:jc w:val="both"/>
              <w:outlineLvl w:val="0"/>
              <w:rPr>
                <w:rFonts w:hint="eastAsia" w:ascii="宋体" w:eastAsia="宋体" w:cs="宋体"/>
                <w:kern w:val="0"/>
                <w:szCs w:val="21"/>
                <w:lang w:eastAsia="zh-CN"/>
              </w:rPr>
            </w:pPr>
            <w:bookmarkStart w:id="527" w:name="_Toc12303"/>
            <w:bookmarkStart w:id="528" w:name="_Toc7199"/>
            <w:bookmarkStart w:id="529" w:name="_Toc17342"/>
            <w:r>
              <w:rPr>
                <w:rFonts w:hint="eastAsia" w:ascii="宋体" w:hAnsi="宋体"/>
                <w:szCs w:val="21"/>
                <w:lang w:eastAsia="zh-CN"/>
              </w:rPr>
              <w:t>建筑工程BIM造价软件应用</w:t>
            </w:r>
            <w:bookmarkEnd w:id="527"/>
            <w:bookmarkEnd w:id="528"/>
            <w:bookmarkEnd w:id="529"/>
          </w:p>
        </w:tc>
        <w:tc>
          <w:tcPr>
            <w:tcW w:w="680" w:type="dxa"/>
            <w:vAlign w:val="center"/>
          </w:tcPr>
          <w:p>
            <w:pPr>
              <w:widowControl/>
              <w:jc w:val="both"/>
              <w:outlineLvl w:val="0"/>
              <w:rPr>
                <w:rFonts w:ascii="宋体" w:cs="宋体"/>
                <w:kern w:val="0"/>
                <w:szCs w:val="21"/>
              </w:rPr>
            </w:pPr>
            <w:bookmarkStart w:id="530" w:name="_Toc29914"/>
            <w:bookmarkStart w:id="531" w:name="_Toc30266"/>
            <w:bookmarkStart w:id="532" w:name="_Toc16061"/>
            <w:r>
              <w:rPr>
                <w:rFonts w:hint="eastAsia" w:ascii="宋体" w:hAnsi="宋体" w:cs="宋体"/>
                <w:kern w:val="0"/>
                <w:szCs w:val="21"/>
              </w:rPr>
              <w:t>专业课</w:t>
            </w:r>
            <w:bookmarkEnd w:id="530"/>
            <w:bookmarkEnd w:id="531"/>
            <w:bookmarkEnd w:id="532"/>
          </w:p>
        </w:tc>
        <w:tc>
          <w:tcPr>
            <w:tcW w:w="3235" w:type="dxa"/>
            <w:vAlign w:val="center"/>
          </w:tcPr>
          <w:p>
            <w:pPr>
              <w:widowControl/>
              <w:jc w:val="both"/>
              <w:outlineLvl w:val="0"/>
              <w:rPr>
                <w:rFonts w:ascii="宋体" w:cs="宋体"/>
                <w:kern w:val="0"/>
                <w:szCs w:val="21"/>
              </w:rPr>
            </w:pPr>
            <w:bookmarkStart w:id="533" w:name="_Toc3305"/>
            <w:bookmarkStart w:id="534" w:name="_Toc23386"/>
            <w:bookmarkStart w:id="535" w:name="_Toc30046"/>
            <w:r>
              <w:rPr>
                <w:rFonts w:ascii="宋体" w:hAnsi="宋体" w:cs="宋体"/>
                <w:kern w:val="0"/>
                <w:szCs w:val="21"/>
              </w:rPr>
              <w:t>BIM</w:t>
            </w:r>
            <w:r>
              <w:rPr>
                <w:rFonts w:hint="eastAsia" w:ascii="宋体" w:hAnsi="宋体" w:cs="宋体"/>
                <w:kern w:val="0"/>
                <w:szCs w:val="21"/>
              </w:rPr>
              <w:t>应用现状概述、</w:t>
            </w:r>
            <w:r>
              <w:rPr>
                <w:rFonts w:ascii="宋体" w:hAnsi="宋体" w:cs="宋体"/>
                <w:kern w:val="0"/>
                <w:szCs w:val="21"/>
              </w:rPr>
              <w:t>BIM</w:t>
            </w:r>
            <w:r>
              <w:rPr>
                <w:rFonts w:hint="eastAsia" w:ascii="宋体" w:hAnsi="宋体" w:cs="宋体"/>
                <w:kern w:val="0"/>
                <w:szCs w:val="21"/>
              </w:rPr>
              <w:t>钢筋算量软件案例实务、</w:t>
            </w:r>
            <w:r>
              <w:rPr>
                <w:rFonts w:ascii="宋体" w:hAnsi="宋体" w:cs="宋体"/>
                <w:kern w:val="0"/>
                <w:szCs w:val="21"/>
              </w:rPr>
              <w:t>BIM</w:t>
            </w:r>
            <w:r>
              <w:rPr>
                <w:rFonts w:hint="eastAsia" w:ascii="宋体" w:hAnsi="宋体" w:cs="宋体"/>
                <w:kern w:val="0"/>
                <w:szCs w:val="21"/>
              </w:rPr>
              <w:t>算量</w:t>
            </w:r>
            <w:r>
              <w:rPr>
                <w:rFonts w:ascii="宋体" w:hAnsi="宋体" w:cs="宋体"/>
                <w:kern w:val="0"/>
                <w:szCs w:val="21"/>
              </w:rPr>
              <w:t>CAD</w:t>
            </w:r>
            <w:r>
              <w:rPr>
                <w:rFonts w:hint="eastAsia" w:ascii="宋体" w:hAnsi="宋体" w:cs="宋体"/>
                <w:kern w:val="0"/>
                <w:szCs w:val="21"/>
              </w:rPr>
              <w:t>导图案例实务、</w:t>
            </w:r>
            <w:r>
              <w:rPr>
                <w:rFonts w:ascii="宋体" w:hAnsi="宋体" w:cs="宋体"/>
                <w:kern w:val="0"/>
                <w:szCs w:val="21"/>
              </w:rPr>
              <w:t>BIM</w:t>
            </w:r>
            <w:r>
              <w:rPr>
                <w:rFonts w:hint="eastAsia" w:ascii="宋体" w:hAnsi="宋体" w:cs="宋体"/>
                <w:kern w:val="0"/>
                <w:szCs w:val="21"/>
              </w:rPr>
              <w:t>土建算量软件案例实务、综合实践、</w:t>
            </w:r>
            <w:r>
              <w:rPr>
                <w:rFonts w:ascii="宋体" w:hAnsi="宋体" w:cs="宋体"/>
                <w:kern w:val="0"/>
                <w:szCs w:val="21"/>
              </w:rPr>
              <w:t>BIM</w:t>
            </w:r>
            <w:r>
              <w:rPr>
                <w:rFonts w:hint="eastAsia" w:ascii="宋体" w:hAnsi="宋体" w:cs="宋体"/>
                <w:kern w:val="0"/>
                <w:szCs w:val="21"/>
              </w:rPr>
              <w:t>高级应用</w:t>
            </w:r>
            <w:bookmarkEnd w:id="533"/>
            <w:bookmarkEnd w:id="534"/>
            <w:bookmarkEnd w:id="535"/>
          </w:p>
        </w:tc>
        <w:tc>
          <w:tcPr>
            <w:tcW w:w="3740" w:type="dxa"/>
            <w:vAlign w:val="center"/>
          </w:tcPr>
          <w:p>
            <w:pPr>
              <w:widowControl/>
              <w:jc w:val="both"/>
              <w:outlineLvl w:val="0"/>
              <w:rPr>
                <w:rFonts w:ascii="宋体" w:cs="宋体"/>
                <w:kern w:val="0"/>
                <w:szCs w:val="21"/>
              </w:rPr>
            </w:pPr>
            <w:bookmarkStart w:id="536" w:name="_Toc3480"/>
            <w:bookmarkStart w:id="537" w:name="_Toc16595"/>
            <w:bookmarkStart w:id="538" w:name="_Toc17164"/>
            <w:r>
              <w:rPr>
                <w:rFonts w:hint="eastAsia" w:ascii="宋体" w:hAnsi="宋体" w:cs="宋体"/>
                <w:kern w:val="0"/>
                <w:szCs w:val="21"/>
              </w:rPr>
              <w:t>培养学生应用</w:t>
            </w:r>
            <w:r>
              <w:rPr>
                <w:rFonts w:ascii="宋体" w:hAnsi="宋体" w:cs="宋体"/>
                <w:kern w:val="0"/>
                <w:szCs w:val="21"/>
              </w:rPr>
              <w:t>BIM</w:t>
            </w:r>
            <w:r>
              <w:rPr>
                <w:rFonts w:hint="eastAsia" w:ascii="宋体" w:hAnsi="宋体" w:cs="宋体"/>
                <w:kern w:val="0"/>
                <w:szCs w:val="21"/>
              </w:rPr>
              <w:t>造价软件计算钢筋工程量、土建工程量并套价，编制工程量计算书；编制建筑工程施工图预算。</w:t>
            </w:r>
            <w:bookmarkEnd w:id="536"/>
            <w:bookmarkEnd w:id="537"/>
            <w:bookmarkEnd w:id="5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539" w:name="_Toc31846"/>
            <w:bookmarkStart w:id="540" w:name="_Toc17483"/>
            <w:bookmarkStart w:id="541" w:name="_Toc3070"/>
            <w:r>
              <w:rPr>
                <w:rFonts w:ascii="宋体" w:hAnsi="宋体" w:cs="宋体"/>
                <w:kern w:val="0"/>
                <w:szCs w:val="21"/>
              </w:rPr>
              <w:t>1</w:t>
            </w:r>
            <w:r>
              <w:rPr>
                <w:rFonts w:hint="eastAsia" w:ascii="宋体" w:hAnsi="宋体" w:cs="宋体"/>
                <w:kern w:val="0"/>
                <w:szCs w:val="21"/>
              </w:rPr>
              <w:t>6</w:t>
            </w:r>
            <w:bookmarkEnd w:id="539"/>
            <w:bookmarkEnd w:id="540"/>
            <w:bookmarkEnd w:id="541"/>
          </w:p>
        </w:tc>
        <w:tc>
          <w:tcPr>
            <w:tcW w:w="857" w:type="dxa"/>
            <w:vAlign w:val="center"/>
          </w:tcPr>
          <w:p>
            <w:pPr>
              <w:widowControl/>
              <w:jc w:val="both"/>
              <w:outlineLvl w:val="0"/>
              <w:rPr>
                <w:rFonts w:ascii="宋体" w:cs="宋体"/>
                <w:kern w:val="0"/>
                <w:szCs w:val="21"/>
              </w:rPr>
            </w:pPr>
            <w:bookmarkStart w:id="542" w:name="_Toc15130"/>
            <w:bookmarkStart w:id="543" w:name="_Toc1772"/>
            <w:bookmarkStart w:id="544" w:name="_Toc18217"/>
            <w:r>
              <w:rPr>
                <w:rFonts w:ascii="宋体" w:hAnsi="宋体"/>
                <w:szCs w:val="21"/>
              </w:rPr>
              <w:t>BIM5D</w:t>
            </w:r>
            <w:r>
              <w:rPr>
                <w:rFonts w:hint="eastAsia" w:ascii="宋体" w:hAnsi="宋体"/>
                <w:szCs w:val="21"/>
              </w:rPr>
              <w:t>项目应用与分析</w:t>
            </w:r>
            <w:bookmarkEnd w:id="542"/>
            <w:bookmarkEnd w:id="543"/>
            <w:bookmarkEnd w:id="544"/>
          </w:p>
        </w:tc>
        <w:tc>
          <w:tcPr>
            <w:tcW w:w="680" w:type="dxa"/>
            <w:vAlign w:val="center"/>
          </w:tcPr>
          <w:p>
            <w:pPr>
              <w:widowControl/>
              <w:jc w:val="both"/>
              <w:outlineLvl w:val="0"/>
              <w:rPr>
                <w:rFonts w:ascii="宋体" w:cs="宋体"/>
                <w:kern w:val="0"/>
                <w:szCs w:val="21"/>
              </w:rPr>
            </w:pPr>
            <w:bookmarkStart w:id="545" w:name="_Toc1176"/>
            <w:bookmarkStart w:id="546" w:name="_Toc24030"/>
            <w:bookmarkStart w:id="547" w:name="_Toc4052"/>
            <w:r>
              <w:rPr>
                <w:rFonts w:hint="eastAsia" w:ascii="宋体" w:hAnsi="宋体" w:cs="宋体"/>
                <w:kern w:val="0"/>
                <w:szCs w:val="21"/>
              </w:rPr>
              <w:t>专业课</w:t>
            </w:r>
            <w:bookmarkEnd w:id="545"/>
            <w:bookmarkEnd w:id="546"/>
            <w:bookmarkEnd w:id="547"/>
          </w:p>
        </w:tc>
        <w:tc>
          <w:tcPr>
            <w:tcW w:w="3235" w:type="dxa"/>
            <w:vAlign w:val="center"/>
          </w:tcPr>
          <w:p>
            <w:pPr>
              <w:widowControl/>
              <w:jc w:val="both"/>
              <w:outlineLvl w:val="0"/>
              <w:rPr>
                <w:rFonts w:ascii="宋体" w:cs="宋体"/>
                <w:kern w:val="0"/>
                <w:szCs w:val="21"/>
              </w:rPr>
            </w:pPr>
            <w:bookmarkStart w:id="548" w:name="_Toc25218"/>
            <w:bookmarkStart w:id="549" w:name="_Toc10935"/>
            <w:bookmarkStart w:id="550" w:name="_Toc21183"/>
            <w:r>
              <w:rPr>
                <w:rFonts w:hint="eastAsia" w:ascii="宋体" w:hAnsi="宋体" w:cs="宋体"/>
                <w:kern w:val="0"/>
                <w:szCs w:val="21"/>
              </w:rPr>
              <w:t>一）</w:t>
            </w:r>
            <w:r>
              <w:rPr>
                <w:rFonts w:ascii="宋体" w:hAnsi="宋体" w:cs="宋体"/>
                <w:kern w:val="0"/>
                <w:szCs w:val="21"/>
              </w:rPr>
              <w:t>BIM5D</w:t>
            </w:r>
            <w:r>
              <w:rPr>
                <w:rFonts w:hint="eastAsia" w:ascii="宋体" w:hAnsi="宋体" w:cs="宋体"/>
                <w:kern w:val="0"/>
                <w:szCs w:val="21"/>
              </w:rPr>
              <w:t>软件基础应用</w:t>
            </w:r>
            <w:r>
              <w:rPr>
                <w:rFonts w:ascii="宋体" w:hAnsi="宋体" w:cs="宋体"/>
                <w:kern w:val="0"/>
                <w:szCs w:val="21"/>
              </w:rPr>
              <w:t xml:space="preserve"> </w:t>
            </w:r>
            <w:r>
              <w:rPr>
                <w:rFonts w:hint="eastAsia" w:ascii="宋体" w:hAnsi="宋体" w:cs="宋体"/>
                <w:kern w:val="0"/>
                <w:szCs w:val="21"/>
              </w:rPr>
              <w:t>：</w:t>
            </w:r>
            <w:bookmarkEnd w:id="548"/>
            <w:bookmarkEnd w:id="549"/>
            <w:bookmarkEnd w:id="550"/>
          </w:p>
          <w:p>
            <w:pPr>
              <w:widowControl/>
              <w:jc w:val="both"/>
              <w:outlineLvl w:val="0"/>
              <w:rPr>
                <w:rFonts w:ascii="宋体" w:hAnsi="宋体" w:cs="宋体"/>
                <w:kern w:val="0"/>
                <w:szCs w:val="21"/>
              </w:rPr>
            </w:pPr>
            <w:bookmarkStart w:id="551" w:name="_Toc30725"/>
            <w:bookmarkStart w:id="552" w:name="_Toc1169"/>
            <w:bookmarkStart w:id="553" w:name="_Toc20716"/>
            <w:r>
              <w:rPr>
                <w:rFonts w:ascii="宋体" w:hAnsi="宋体" w:cs="宋体"/>
                <w:kern w:val="0"/>
                <w:szCs w:val="21"/>
              </w:rPr>
              <w:t>1</w:t>
            </w:r>
            <w:r>
              <w:rPr>
                <w:rFonts w:hint="eastAsia" w:ascii="宋体" w:hAnsi="宋体" w:cs="宋体"/>
                <w:kern w:val="0"/>
                <w:szCs w:val="21"/>
              </w:rPr>
              <w:t>.软件概述及基础数据导入</w:t>
            </w:r>
            <w:bookmarkEnd w:id="551"/>
            <w:bookmarkEnd w:id="552"/>
            <w:bookmarkEnd w:id="553"/>
          </w:p>
          <w:p>
            <w:pPr>
              <w:widowControl/>
              <w:jc w:val="both"/>
              <w:outlineLvl w:val="0"/>
              <w:rPr>
                <w:rFonts w:ascii="宋体" w:hAnsi="宋体" w:cs="宋体"/>
                <w:kern w:val="0"/>
                <w:szCs w:val="21"/>
              </w:rPr>
            </w:pPr>
            <w:bookmarkStart w:id="554" w:name="_Toc20072"/>
            <w:bookmarkStart w:id="555" w:name="_Toc21893"/>
            <w:bookmarkStart w:id="556" w:name="_Toc26765"/>
            <w:r>
              <w:rPr>
                <w:rFonts w:ascii="宋体" w:hAnsi="宋体" w:cs="宋体"/>
                <w:kern w:val="0"/>
                <w:szCs w:val="21"/>
              </w:rPr>
              <w:t>2.</w:t>
            </w:r>
            <w:r>
              <w:rPr>
                <w:rFonts w:hint="eastAsia" w:ascii="宋体" w:hAnsi="宋体" w:cs="宋体"/>
                <w:kern w:val="0"/>
                <w:szCs w:val="21"/>
              </w:rPr>
              <w:t>模型与工程量清单的导入及关联</w:t>
            </w:r>
            <w:bookmarkEnd w:id="554"/>
            <w:bookmarkEnd w:id="555"/>
            <w:bookmarkEnd w:id="556"/>
          </w:p>
          <w:p>
            <w:pPr>
              <w:widowControl/>
              <w:jc w:val="both"/>
              <w:outlineLvl w:val="0"/>
              <w:rPr>
                <w:rFonts w:ascii="宋体" w:hAnsi="宋体" w:cs="宋体"/>
                <w:kern w:val="0"/>
                <w:szCs w:val="21"/>
              </w:rPr>
            </w:pPr>
            <w:bookmarkStart w:id="557" w:name="_Toc22636"/>
            <w:bookmarkStart w:id="558" w:name="_Toc10254"/>
            <w:bookmarkStart w:id="559" w:name="_Toc30304"/>
            <w:r>
              <w:rPr>
                <w:rFonts w:ascii="宋体" w:hAnsi="宋体" w:cs="宋体"/>
                <w:kern w:val="0"/>
                <w:szCs w:val="21"/>
              </w:rPr>
              <w:t>3.</w:t>
            </w:r>
            <w:r>
              <w:rPr>
                <w:rFonts w:hint="eastAsia" w:ascii="宋体" w:hAnsi="宋体" w:cs="宋体"/>
                <w:kern w:val="0"/>
                <w:szCs w:val="21"/>
              </w:rPr>
              <w:t>流水段划分及管理</w:t>
            </w:r>
            <w:bookmarkEnd w:id="557"/>
            <w:bookmarkEnd w:id="558"/>
            <w:bookmarkEnd w:id="559"/>
          </w:p>
          <w:p>
            <w:pPr>
              <w:widowControl/>
              <w:jc w:val="both"/>
              <w:outlineLvl w:val="0"/>
              <w:rPr>
                <w:rFonts w:ascii="宋体" w:hAnsi="宋体" w:cs="宋体"/>
                <w:kern w:val="0"/>
                <w:szCs w:val="21"/>
              </w:rPr>
            </w:pPr>
            <w:bookmarkStart w:id="560" w:name="_Toc23817"/>
            <w:bookmarkStart w:id="561" w:name="_Toc32114"/>
            <w:bookmarkStart w:id="562" w:name="_Toc27960"/>
            <w:r>
              <w:rPr>
                <w:rFonts w:ascii="宋体" w:hAnsi="宋体" w:cs="宋体"/>
                <w:kern w:val="0"/>
                <w:szCs w:val="21"/>
              </w:rPr>
              <w:t>4.</w:t>
            </w:r>
            <w:r>
              <w:rPr>
                <w:rFonts w:hint="eastAsia" w:ascii="宋体" w:hAnsi="宋体" w:cs="宋体"/>
                <w:kern w:val="0"/>
                <w:szCs w:val="21"/>
              </w:rPr>
              <w:t>进度计划导入及关联</w:t>
            </w:r>
            <w:bookmarkEnd w:id="560"/>
            <w:bookmarkEnd w:id="561"/>
            <w:bookmarkEnd w:id="562"/>
          </w:p>
          <w:p>
            <w:pPr>
              <w:widowControl/>
              <w:jc w:val="both"/>
              <w:outlineLvl w:val="0"/>
              <w:rPr>
                <w:rFonts w:ascii="宋体" w:hAnsi="宋体" w:cs="宋体"/>
                <w:kern w:val="0"/>
                <w:szCs w:val="21"/>
              </w:rPr>
            </w:pPr>
            <w:bookmarkStart w:id="563" w:name="_Toc18596"/>
            <w:bookmarkStart w:id="564" w:name="_Toc32440"/>
            <w:bookmarkStart w:id="565" w:name="_Toc3180"/>
            <w:r>
              <w:rPr>
                <w:rFonts w:ascii="宋体" w:hAnsi="宋体" w:cs="宋体"/>
                <w:kern w:val="0"/>
                <w:szCs w:val="21"/>
              </w:rPr>
              <w:t>5.</w:t>
            </w:r>
            <w:r>
              <w:rPr>
                <w:rFonts w:hint="eastAsia" w:ascii="宋体" w:hAnsi="宋体" w:cs="宋体"/>
                <w:kern w:val="0"/>
                <w:szCs w:val="21"/>
              </w:rPr>
              <w:t>工况导入及设置</w:t>
            </w:r>
            <w:bookmarkEnd w:id="563"/>
            <w:bookmarkEnd w:id="564"/>
            <w:bookmarkEnd w:id="565"/>
          </w:p>
          <w:p>
            <w:pPr>
              <w:widowControl/>
              <w:jc w:val="both"/>
              <w:outlineLvl w:val="0"/>
              <w:rPr>
                <w:rFonts w:ascii="宋体" w:hAnsi="宋体" w:cs="宋体"/>
                <w:kern w:val="0"/>
                <w:szCs w:val="21"/>
              </w:rPr>
            </w:pPr>
            <w:bookmarkStart w:id="566" w:name="_Toc13611"/>
            <w:bookmarkStart w:id="567" w:name="_Toc32065"/>
            <w:bookmarkStart w:id="568" w:name="_Toc13708"/>
            <w:r>
              <w:rPr>
                <w:rFonts w:ascii="宋体" w:hAnsi="宋体" w:cs="宋体"/>
                <w:kern w:val="0"/>
                <w:szCs w:val="21"/>
              </w:rPr>
              <w:t>6.</w:t>
            </w:r>
            <w:r>
              <w:rPr>
                <w:rFonts w:hint="eastAsia" w:ascii="宋体" w:hAnsi="宋体" w:cs="宋体"/>
                <w:kern w:val="0"/>
                <w:szCs w:val="21"/>
              </w:rPr>
              <w:t>进度模拟及漫游</w:t>
            </w:r>
            <w:bookmarkEnd w:id="566"/>
            <w:bookmarkEnd w:id="567"/>
            <w:bookmarkEnd w:id="568"/>
          </w:p>
          <w:p>
            <w:pPr>
              <w:widowControl/>
              <w:jc w:val="both"/>
              <w:outlineLvl w:val="0"/>
              <w:rPr>
                <w:rFonts w:ascii="宋体" w:hAnsi="宋体" w:cs="宋体"/>
                <w:kern w:val="0"/>
                <w:szCs w:val="21"/>
              </w:rPr>
            </w:pPr>
            <w:bookmarkStart w:id="569" w:name="_Toc20099"/>
            <w:bookmarkStart w:id="570" w:name="_Toc9865"/>
            <w:bookmarkStart w:id="571" w:name="_Toc12324"/>
            <w:r>
              <w:rPr>
                <w:rFonts w:ascii="宋体" w:hAnsi="宋体" w:cs="宋体"/>
                <w:kern w:val="0"/>
                <w:szCs w:val="21"/>
              </w:rPr>
              <w:t>7.</w:t>
            </w:r>
            <w:r>
              <w:rPr>
                <w:rFonts w:hint="eastAsia" w:ascii="宋体" w:hAnsi="宋体" w:cs="宋体"/>
                <w:kern w:val="0"/>
                <w:szCs w:val="21"/>
              </w:rPr>
              <w:t>漫游视频制作</w:t>
            </w:r>
            <w:bookmarkEnd w:id="569"/>
            <w:bookmarkEnd w:id="570"/>
            <w:bookmarkEnd w:id="571"/>
          </w:p>
          <w:p>
            <w:pPr>
              <w:widowControl/>
              <w:jc w:val="both"/>
              <w:outlineLvl w:val="0"/>
              <w:rPr>
                <w:rFonts w:ascii="宋体" w:hAnsi="宋体" w:cs="宋体"/>
                <w:kern w:val="0"/>
                <w:szCs w:val="21"/>
              </w:rPr>
            </w:pPr>
            <w:bookmarkStart w:id="572" w:name="_Toc24293"/>
            <w:bookmarkStart w:id="573" w:name="_Toc30780"/>
            <w:bookmarkStart w:id="574" w:name="_Toc32736"/>
            <w:r>
              <w:rPr>
                <w:rFonts w:ascii="宋体" w:hAnsi="宋体" w:cs="宋体"/>
                <w:kern w:val="0"/>
                <w:szCs w:val="21"/>
              </w:rPr>
              <w:t>8.</w:t>
            </w:r>
            <w:r>
              <w:rPr>
                <w:rFonts w:hint="eastAsia" w:ascii="宋体" w:hAnsi="宋体" w:cs="宋体"/>
                <w:kern w:val="0"/>
                <w:szCs w:val="21"/>
              </w:rPr>
              <w:t>碰撞检查</w:t>
            </w:r>
            <w:bookmarkEnd w:id="572"/>
            <w:bookmarkEnd w:id="573"/>
            <w:bookmarkEnd w:id="574"/>
          </w:p>
          <w:p>
            <w:pPr>
              <w:widowControl/>
              <w:jc w:val="both"/>
              <w:outlineLvl w:val="0"/>
              <w:rPr>
                <w:rFonts w:ascii="宋体" w:hAnsi="宋体" w:cs="宋体"/>
                <w:kern w:val="0"/>
                <w:szCs w:val="21"/>
              </w:rPr>
            </w:pPr>
            <w:bookmarkStart w:id="575" w:name="_Toc27887"/>
            <w:bookmarkStart w:id="576" w:name="_Toc9711"/>
            <w:bookmarkStart w:id="577" w:name="_Toc11731"/>
            <w:r>
              <w:rPr>
                <w:rFonts w:hint="eastAsia" w:ascii="宋体" w:hAnsi="宋体" w:cs="宋体"/>
                <w:kern w:val="0"/>
                <w:szCs w:val="21"/>
              </w:rPr>
              <w:t>（二）</w:t>
            </w:r>
            <w:r>
              <w:rPr>
                <w:rFonts w:ascii="宋体" w:hAnsi="宋体" w:cs="宋体"/>
                <w:kern w:val="0"/>
                <w:szCs w:val="21"/>
              </w:rPr>
              <w:t>BIM5D</w:t>
            </w:r>
            <w:r>
              <w:rPr>
                <w:rFonts w:hint="eastAsia" w:ascii="宋体" w:hAnsi="宋体" w:cs="宋体"/>
                <w:kern w:val="0"/>
                <w:szCs w:val="21"/>
              </w:rPr>
              <w:t>软件管理应用</w:t>
            </w:r>
            <w:bookmarkEnd w:id="575"/>
            <w:bookmarkEnd w:id="576"/>
            <w:bookmarkEnd w:id="577"/>
          </w:p>
          <w:p>
            <w:pPr>
              <w:widowControl/>
              <w:jc w:val="both"/>
              <w:outlineLvl w:val="0"/>
              <w:rPr>
                <w:rFonts w:ascii="宋体" w:hAnsi="宋体" w:cs="宋体"/>
                <w:kern w:val="0"/>
                <w:szCs w:val="21"/>
              </w:rPr>
            </w:pPr>
            <w:bookmarkStart w:id="578" w:name="_Toc18415"/>
            <w:bookmarkStart w:id="579" w:name="_Toc21028"/>
            <w:bookmarkStart w:id="580" w:name="_Toc31094"/>
            <w:r>
              <w:rPr>
                <w:rFonts w:ascii="宋体" w:hAnsi="宋体" w:cs="宋体"/>
                <w:kern w:val="0"/>
                <w:szCs w:val="21"/>
              </w:rPr>
              <w:t>1</w:t>
            </w:r>
            <w:r>
              <w:rPr>
                <w:rFonts w:hint="eastAsia" w:ascii="宋体" w:hAnsi="宋体" w:cs="宋体"/>
                <w:kern w:val="0"/>
                <w:szCs w:val="21"/>
              </w:rPr>
              <w:t>．物资查询与管理</w:t>
            </w:r>
            <w:bookmarkEnd w:id="578"/>
            <w:bookmarkEnd w:id="579"/>
            <w:bookmarkEnd w:id="580"/>
          </w:p>
          <w:p>
            <w:pPr>
              <w:widowControl/>
              <w:jc w:val="both"/>
              <w:outlineLvl w:val="0"/>
              <w:rPr>
                <w:rFonts w:ascii="宋体" w:hAnsi="宋体" w:cs="宋体"/>
                <w:kern w:val="0"/>
                <w:szCs w:val="21"/>
              </w:rPr>
            </w:pPr>
            <w:bookmarkStart w:id="581" w:name="_Toc8072"/>
            <w:bookmarkStart w:id="582" w:name="_Toc5261"/>
            <w:bookmarkStart w:id="583" w:name="_Toc20296"/>
            <w:r>
              <w:rPr>
                <w:rFonts w:ascii="宋体" w:hAnsi="宋体" w:cs="宋体"/>
                <w:kern w:val="0"/>
                <w:szCs w:val="21"/>
              </w:rPr>
              <w:t>2</w:t>
            </w:r>
            <w:r>
              <w:rPr>
                <w:rFonts w:hint="eastAsia" w:ascii="宋体" w:hAnsi="宋体" w:cs="宋体"/>
                <w:kern w:val="0"/>
                <w:szCs w:val="21"/>
              </w:rPr>
              <w:t>．投资数据分析</w:t>
            </w:r>
            <w:bookmarkEnd w:id="581"/>
            <w:bookmarkEnd w:id="582"/>
            <w:bookmarkEnd w:id="583"/>
          </w:p>
          <w:p>
            <w:pPr>
              <w:widowControl/>
              <w:jc w:val="both"/>
              <w:outlineLvl w:val="0"/>
              <w:rPr>
                <w:rFonts w:ascii="宋体" w:hAnsi="宋体" w:cs="宋体"/>
                <w:kern w:val="0"/>
                <w:szCs w:val="21"/>
              </w:rPr>
            </w:pPr>
            <w:bookmarkStart w:id="584" w:name="_Toc14116"/>
            <w:bookmarkStart w:id="585" w:name="_Toc870"/>
            <w:bookmarkStart w:id="586" w:name="_Toc14355"/>
            <w:r>
              <w:rPr>
                <w:rFonts w:ascii="宋体" w:hAnsi="宋体" w:cs="宋体"/>
                <w:kern w:val="0"/>
                <w:szCs w:val="21"/>
              </w:rPr>
              <w:t>3</w:t>
            </w:r>
            <w:r>
              <w:rPr>
                <w:rFonts w:hint="eastAsia" w:ascii="宋体" w:hAnsi="宋体" w:cs="宋体"/>
                <w:kern w:val="0"/>
                <w:szCs w:val="21"/>
              </w:rPr>
              <w:t>．合约规划管理</w:t>
            </w:r>
            <w:bookmarkEnd w:id="584"/>
            <w:bookmarkEnd w:id="585"/>
            <w:bookmarkEnd w:id="586"/>
          </w:p>
          <w:p>
            <w:pPr>
              <w:widowControl/>
              <w:jc w:val="both"/>
              <w:outlineLvl w:val="0"/>
              <w:rPr>
                <w:rFonts w:ascii="宋体" w:hAnsi="宋体" w:cs="宋体"/>
                <w:kern w:val="0"/>
                <w:szCs w:val="21"/>
              </w:rPr>
            </w:pPr>
            <w:bookmarkStart w:id="587" w:name="_Toc19593"/>
            <w:bookmarkStart w:id="588" w:name="_Toc13069"/>
            <w:bookmarkStart w:id="589" w:name="_Toc16799"/>
            <w:r>
              <w:rPr>
                <w:rFonts w:ascii="宋体" w:hAnsi="宋体" w:cs="宋体"/>
                <w:kern w:val="0"/>
                <w:szCs w:val="21"/>
              </w:rPr>
              <w:t>4</w:t>
            </w:r>
            <w:r>
              <w:rPr>
                <w:rFonts w:hint="eastAsia" w:ascii="宋体" w:hAnsi="宋体" w:cs="宋体"/>
                <w:kern w:val="0"/>
                <w:szCs w:val="21"/>
              </w:rPr>
              <w:t>．模拟工期调整</w:t>
            </w:r>
            <w:bookmarkEnd w:id="587"/>
            <w:bookmarkEnd w:id="588"/>
            <w:bookmarkEnd w:id="589"/>
          </w:p>
          <w:p>
            <w:pPr>
              <w:widowControl/>
              <w:jc w:val="both"/>
              <w:outlineLvl w:val="0"/>
              <w:rPr>
                <w:rFonts w:ascii="宋体" w:hAnsi="宋体" w:cs="宋体"/>
                <w:kern w:val="0"/>
                <w:szCs w:val="21"/>
              </w:rPr>
            </w:pPr>
            <w:bookmarkStart w:id="590" w:name="_Toc4442"/>
            <w:bookmarkStart w:id="591" w:name="_Toc5171"/>
            <w:bookmarkStart w:id="592" w:name="_Toc4388"/>
            <w:r>
              <w:rPr>
                <w:rFonts w:ascii="宋体" w:hAnsi="宋体" w:cs="宋体"/>
                <w:kern w:val="0"/>
                <w:szCs w:val="21"/>
              </w:rPr>
              <w:t>5</w:t>
            </w:r>
            <w:r>
              <w:rPr>
                <w:rFonts w:hint="eastAsia" w:ascii="宋体" w:hAnsi="宋体" w:cs="宋体"/>
                <w:kern w:val="0"/>
                <w:szCs w:val="21"/>
              </w:rPr>
              <w:t>．模拟质量问题</w:t>
            </w:r>
            <w:bookmarkEnd w:id="590"/>
            <w:bookmarkEnd w:id="591"/>
            <w:bookmarkEnd w:id="592"/>
          </w:p>
          <w:p>
            <w:pPr>
              <w:widowControl/>
              <w:jc w:val="both"/>
              <w:outlineLvl w:val="0"/>
              <w:rPr>
                <w:rFonts w:ascii="宋体" w:cs="宋体"/>
                <w:kern w:val="0"/>
                <w:szCs w:val="21"/>
              </w:rPr>
            </w:pPr>
            <w:bookmarkStart w:id="593" w:name="_Toc9943"/>
            <w:bookmarkStart w:id="594" w:name="_Toc12896"/>
            <w:bookmarkStart w:id="595" w:name="_Toc30282"/>
            <w:r>
              <w:rPr>
                <w:rFonts w:hint="eastAsia" w:ascii="宋体" w:hAnsi="宋体" w:cs="宋体"/>
                <w:kern w:val="0"/>
                <w:szCs w:val="21"/>
              </w:rPr>
              <w:t>（三）综合训练：</w:t>
            </w:r>
            <w:r>
              <w:rPr>
                <w:rFonts w:ascii="宋体" w:hAnsi="宋体" w:cs="宋体"/>
                <w:kern w:val="0"/>
                <w:szCs w:val="21"/>
              </w:rPr>
              <w:t xml:space="preserve"> </w:t>
            </w:r>
            <w:r>
              <w:rPr>
                <w:rFonts w:hint="eastAsia" w:ascii="宋体" w:hAnsi="宋体" w:cs="宋体"/>
                <w:kern w:val="0"/>
                <w:szCs w:val="21"/>
              </w:rPr>
              <w:t>项目二</w:t>
            </w:r>
            <w:r>
              <w:rPr>
                <w:rFonts w:ascii="宋体" w:hAnsi="宋体" w:cs="宋体"/>
                <w:kern w:val="0"/>
                <w:szCs w:val="21"/>
              </w:rPr>
              <w:t>BIM5D</w:t>
            </w:r>
            <w:r>
              <w:rPr>
                <w:rFonts w:hint="eastAsia" w:ascii="宋体" w:hAnsi="宋体" w:cs="宋体"/>
                <w:kern w:val="0"/>
                <w:szCs w:val="21"/>
              </w:rPr>
              <w:t>综合应用实训</w:t>
            </w:r>
            <w:bookmarkEnd w:id="593"/>
            <w:bookmarkEnd w:id="594"/>
            <w:bookmarkEnd w:id="595"/>
          </w:p>
        </w:tc>
        <w:tc>
          <w:tcPr>
            <w:tcW w:w="3740" w:type="dxa"/>
            <w:vAlign w:val="center"/>
          </w:tcPr>
          <w:p>
            <w:pPr>
              <w:widowControl/>
              <w:jc w:val="both"/>
              <w:outlineLvl w:val="0"/>
              <w:rPr>
                <w:rFonts w:ascii="宋体" w:cs="宋体"/>
                <w:kern w:val="0"/>
                <w:szCs w:val="21"/>
              </w:rPr>
            </w:pPr>
            <w:bookmarkStart w:id="596" w:name="_Toc8642"/>
            <w:bookmarkStart w:id="597" w:name="_Toc7474"/>
            <w:bookmarkStart w:id="598" w:name="_Toc17188"/>
            <w:r>
              <w:rPr>
                <w:rFonts w:hint="eastAsia" w:ascii="宋体" w:hAnsi="宋体" w:cs="宋体"/>
                <w:kern w:val="0"/>
                <w:szCs w:val="21"/>
              </w:rPr>
              <w:t>重点掌握</w:t>
            </w:r>
            <w:r>
              <w:rPr>
                <w:rFonts w:ascii="宋体" w:hAnsi="宋体" w:cs="宋体"/>
                <w:kern w:val="0"/>
                <w:szCs w:val="21"/>
              </w:rPr>
              <w:t>BIM5D</w:t>
            </w:r>
            <w:r>
              <w:rPr>
                <w:rFonts w:hint="eastAsia" w:ascii="宋体" w:hAnsi="宋体" w:cs="宋体"/>
                <w:kern w:val="0"/>
                <w:szCs w:val="21"/>
              </w:rPr>
              <w:t>软件基础应用的操作步骤和方法，掌握</w:t>
            </w:r>
            <w:r>
              <w:rPr>
                <w:rFonts w:ascii="宋体" w:hAnsi="宋体" w:cs="宋体"/>
                <w:kern w:val="0"/>
                <w:szCs w:val="21"/>
              </w:rPr>
              <w:t>BIM5D</w:t>
            </w:r>
            <w:r>
              <w:rPr>
                <w:rFonts w:hint="eastAsia" w:ascii="宋体" w:hAnsi="宋体" w:cs="宋体"/>
                <w:kern w:val="0"/>
                <w:szCs w:val="21"/>
              </w:rPr>
              <w:t>基本运行原理，掌握应用软进行件进度模拟的方法。让学生独立完成相关工作内容。</w:t>
            </w:r>
            <w:bookmarkEnd w:id="596"/>
            <w:bookmarkEnd w:id="597"/>
            <w:bookmarkEnd w:id="598"/>
          </w:p>
          <w:p>
            <w:pPr>
              <w:widowControl/>
              <w:jc w:val="both"/>
              <w:outlineLvl w:val="0"/>
              <w:rPr>
                <w:rFonts w:ascii="宋体" w:cs="宋体"/>
                <w:kern w:val="0"/>
                <w:szCs w:val="21"/>
              </w:rPr>
            </w:pPr>
            <w:bookmarkStart w:id="599" w:name="_Toc2385"/>
            <w:bookmarkStart w:id="600" w:name="_Toc11805"/>
            <w:bookmarkStart w:id="601" w:name="_Toc16741"/>
            <w:r>
              <w:rPr>
                <w:rFonts w:hint="eastAsia" w:ascii="宋体" w:hAnsi="宋体" w:cs="宋体"/>
                <w:kern w:val="0"/>
                <w:szCs w:val="21"/>
              </w:rPr>
              <w:t>掌握应用</w:t>
            </w:r>
            <w:r>
              <w:rPr>
                <w:rFonts w:ascii="宋体" w:hAnsi="宋体" w:cs="宋体"/>
                <w:kern w:val="0"/>
                <w:szCs w:val="21"/>
              </w:rPr>
              <w:t>BIM5D</w:t>
            </w:r>
            <w:r>
              <w:rPr>
                <w:rFonts w:hint="eastAsia" w:ascii="宋体" w:hAnsi="宋体" w:cs="宋体"/>
                <w:kern w:val="0"/>
                <w:szCs w:val="21"/>
              </w:rPr>
              <w:t>软件进行项目管理应用的方法和流程，通过实际项目情况模拟的方式使学生掌握应用</w:t>
            </w:r>
            <w:r>
              <w:rPr>
                <w:rFonts w:ascii="宋体" w:hAnsi="宋体" w:cs="宋体"/>
                <w:kern w:val="0"/>
                <w:szCs w:val="21"/>
              </w:rPr>
              <w:t>BIM</w:t>
            </w:r>
            <w:r>
              <w:rPr>
                <w:rFonts w:hint="eastAsia" w:ascii="宋体" w:hAnsi="宋体" w:cs="宋体"/>
                <w:kern w:val="0"/>
                <w:szCs w:val="21"/>
              </w:rPr>
              <w:t>软件形成项目的碰撞检查报告、物料分析报告和投资分析报告。</w:t>
            </w:r>
            <w:bookmarkEnd w:id="599"/>
            <w:bookmarkEnd w:id="600"/>
            <w:bookmarkEnd w:id="601"/>
          </w:p>
          <w:p>
            <w:pPr>
              <w:widowControl/>
              <w:jc w:val="both"/>
              <w:outlineLvl w:val="0"/>
              <w:rPr>
                <w:rFonts w:ascii="宋体" w:cs="宋体"/>
                <w:kern w:val="0"/>
                <w:szCs w:val="21"/>
              </w:rPr>
            </w:pPr>
            <w:bookmarkStart w:id="602" w:name="_Toc27234"/>
            <w:bookmarkStart w:id="603" w:name="_Toc25315"/>
            <w:bookmarkStart w:id="604" w:name="_Toc19236"/>
            <w:r>
              <w:rPr>
                <w:rFonts w:hint="eastAsia" w:ascii="宋体" w:hAnsi="宋体" w:cs="宋体"/>
                <w:kern w:val="0"/>
                <w:szCs w:val="21"/>
              </w:rPr>
              <w:t>通过学生综合训练</w:t>
            </w:r>
            <w:r>
              <w:rPr>
                <w:rFonts w:ascii="宋体" w:cs="宋体"/>
                <w:kern w:val="0"/>
                <w:szCs w:val="21"/>
              </w:rPr>
              <w:t>,</w:t>
            </w:r>
            <w:r>
              <w:rPr>
                <w:rFonts w:hint="eastAsia" w:ascii="宋体" w:hAnsi="宋体" w:cs="宋体"/>
                <w:kern w:val="0"/>
                <w:szCs w:val="21"/>
              </w:rPr>
              <w:t>要求学生能对所学软件操作能力进一步提高，同时在项目二教学中模拟协同工作，让学生以协同小组为单位完成相应工作内容，提升学生的协同工作能力和团队协作意识，强化学生创新创业意识。</w:t>
            </w:r>
            <w:bookmarkEnd w:id="602"/>
            <w:bookmarkEnd w:id="603"/>
            <w:bookmarkEnd w:id="6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0" w:type="auto"/>
            <w:vAlign w:val="center"/>
          </w:tcPr>
          <w:p>
            <w:pPr>
              <w:widowControl/>
              <w:jc w:val="both"/>
              <w:outlineLvl w:val="0"/>
              <w:rPr>
                <w:rFonts w:ascii="宋体" w:hAnsi="宋体" w:cs="宋体"/>
                <w:kern w:val="0"/>
                <w:szCs w:val="21"/>
              </w:rPr>
            </w:pPr>
            <w:bookmarkStart w:id="605" w:name="_Toc24033"/>
            <w:bookmarkStart w:id="606" w:name="_Toc15086"/>
            <w:bookmarkStart w:id="607" w:name="_Toc18325"/>
            <w:r>
              <w:rPr>
                <w:rFonts w:ascii="宋体" w:hAnsi="宋体" w:cs="宋体"/>
                <w:kern w:val="0"/>
                <w:szCs w:val="21"/>
              </w:rPr>
              <w:t>1</w:t>
            </w:r>
            <w:r>
              <w:rPr>
                <w:rFonts w:hint="eastAsia" w:ascii="宋体" w:hAnsi="宋体" w:cs="宋体"/>
                <w:kern w:val="0"/>
                <w:szCs w:val="21"/>
              </w:rPr>
              <w:t>7</w:t>
            </w:r>
            <w:bookmarkEnd w:id="605"/>
            <w:bookmarkEnd w:id="606"/>
            <w:bookmarkEnd w:id="607"/>
          </w:p>
        </w:tc>
        <w:tc>
          <w:tcPr>
            <w:tcW w:w="857" w:type="dxa"/>
            <w:vAlign w:val="center"/>
          </w:tcPr>
          <w:p>
            <w:pPr>
              <w:widowControl/>
              <w:jc w:val="both"/>
              <w:outlineLvl w:val="0"/>
              <w:rPr>
                <w:rFonts w:hint="eastAsia" w:ascii="宋体" w:eastAsia="宋体" w:cs="宋体"/>
                <w:kern w:val="0"/>
                <w:szCs w:val="21"/>
                <w:lang w:eastAsia="zh-CN"/>
              </w:rPr>
            </w:pPr>
            <w:bookmarkStart w:id="608" w:name="_Toc25977"/>
            <w:bookmarkStart w:id="609" w:name="_Toc2280"/>
            <w:bookmarkStart w:id="610" w:name="_Toc20386"/>
            <w:r>
              <w:rPr>
                <w:rFonts w:ascii="宋体" w:hAnsi="宋体"/>
                <w:szCs w:val="21"/>
              </w:rPr>
              <w:t>*</w:t>
            </w:r>
            <w:r>
              <w:rPr>
                <w:rFonts w:hint="eastAsia" w:ascii="宋体" w:hAnsi="宋体"/>
                <w:szCs w:val="21"/>
                <w:lang w:eastAsia="zh-CN"/>
              </w:rPr>
              <w:t>建筑施工组织设计与管理</w:t>
            </w:r>
            <w:bookmarkEnd w:id="608"/>
            <w:bookmarkEnd w:id="609"/>
            <w:bookmarkEnd w:id="610"/>
          </w:p>
        </w:tc>
        <w:tc>
          <w:tcPr>
            <w:tcW w:w="680" w:type="dxa"/>
            <w:vAlign w:val="center"/>
          </w:tcPr>
          <w:p>
            <w:pPr>
              <w:widowControl/>
              <w:jc w:val="both"/>
              <w:outlineLvl w:val="0"/>
              <w:rPr>
                <w:rFonts w:ascii="宋体" w:cs="宋体"/>
                <w:kern w:val="0"/>
                <w:szCs w:val="21"/>
              </w:rPr>
            </w:pPr>
            <w:bookmarkStart w:id="611" w:name="_Toc30180"/>
            <w:bookmarkStart w:id="612" w:name="_Toc12570"/>
            <w:bookmarkStart w:id="613" w:name="_Toc8202"/>
            <w:r>
              <w:rPr>
                <w:rFonts w:hint="eastAsia" w:ascii="宋体" w:hAnsi="宋体" w:cs="宋体"/>
                <w:kern w:val="0"/>
                <w:szCs w:val="21"/>
              </w:rPr>
              <w:t>专业课</w:t>
            </w:r>
            <w:bookmarkEnd w:id="611"/>
            <w:bookmarkEnd w:id="612"/>
            <w:bookmarkEnd w:id="613"/>
          </w:p>
        </w:tc>
        <w:tc>
          <w:tcPr>
            <w:tcW w:w="3235" w:type="dxa"/>
            <w:vAlign w:val="center"/>
          </w:tcPr>
          <w:p>
            <w:pPr>
              <w:ind w:firstLine="420" w:firstLineChars="200"/>
              <w:jc w:val="both"/>
              <w:rPr>
                <w:rFonts w:ascii="宋体" w:cs="宋体"/>
                <w:kern w:val="0"/>
                <w:szCs w:val="21"/>
              </w:rPr>
            </w:pPr>
            <w:r>
              <w:rPr>
                <w:rFonts w:hint="eastAsia" w:ascii="宋体" w:hAnsi="宋体" w:cs="宋体"/>
                <w:szCs w:val="21"/>
              </w:rPr>
              <w:t>建筑工程流水施工、网络计划技术的基本原理。建筑工程施工组织设计的主要内容，主要包括施工方案、施工平面图布置及施工进度计划。</w:t>
            </w:r>
          </w:p>
        </w:tc>
        <w:tc>
          <w:tcPr>
            <w:tcW w:w="3740" w:type="dxa"/>
            <w:vAlign w:val="center"/>
          </w:tcPr>
          <w:p>
            <w:pPr>
              <w:widowControl/>
              <w:jc w:val="both"/>
              <w:outlineLvl w:val="0"/>
              <w:rPr>
                <w:rFonts w:ascii="宋体" w:cs="宋体"/>
                <w:kern w:val="0"/>
                <w:szCs w:val="21"/>
              </w:rPr>
            </w:pPr>
            <w:bookmarkStart w:id="614" w:name="_Toc9918"/>
            <w:bookmarkStart w:id="615" w:name="_Toc1234"/>
            <w:bookmarkStart w:id="616" w:name="_Toc4887"/>
            <w:r>
              <w:rPr>
                <w:rFonts w:hint="eastAsia" w:ascii="宋体" w:hAnsi="宋体" w:cs="宋体"/>
                <w:szCs w:val="21"/>
              </w:rPr>
              <w:t>掌握建筑工程流水施工、网络计划技术的基本原理；掌握施工组织设计的主要内容，能绘制施工平面布置图、施工进度计划及施工方案。</w:t>
            </w:r>
            <w:bookmarkEnd w:id="614"/>
            <w:bookmarkEnd w:id="615"/>
            <w:bookmarkEnd w:id="6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617" w:name="_Toc9938"/>
            <w:bookmarkStart w:id="618" w:name="_Toc23731"/>
            <w:bookmarkStart w:id="619" w:name="_Toc29526"/>
            <w:r>
              <w:rPr>
                <w:rFonts w:ascii="宋体" w:hAnsi="宋体" w:cs="宋体"/>
                <w:kern w:val="0"/>
                <w:szCs w:val="21"/>
              </w:rPr>
              <w:t>1</w:t>
            </w:r>
            <w:r>
              <w:rPr>
                <w:rFonts w:hint="eastAsia" w:ascii="宋体" w:hAnsi="宋体" w:cs="宋体"/>
                <w:kern w:val="0"/>
                <w:szCs w:val="21"/>
              </w:rPr>
              <w:t>8</w:t>
            </w:r>
            <w:bookmarkEnd w:id="617"/>
            <w:bookmarkEnd w:id="618"/>
            <w:bookmarkEnd w:id="619"/>
          </w:p>
        </w:tc>
        <w:tc>
          <w:tcPr>
            <w:tcW w:w="857" w:type="dxa"/>
            <w:vAlign w:val="center"/>
          </w:tcPr>
          <w:p>
            <w:pPr>
              <w:widowControl/>
              <w:jc w:val="both"/>
              <w:outlineLvl w:val="0"/>
              <w:rPr>
                <w:rFonts w:ascii="宋体" w:cs="宋体"/>
                <w:kern w:val="0"/>
                <w:szCs w:val="21"/>
              </w:rPr>
            </w:pPr>
            <w:bookmarkStart w:id="620" w:name="_Toc986"/>
            <w:bookmarkStart w:id="621" w:name="_Toc29734"/>
            <w:bookmarkStart w:id="622" w:name="_Toc13274"/>
            <w:r>
              <w:rPr>
                <w:rFonts w:hint="eastAsia" w:ascii="宋体" w:hAnsi="宋体"/>
                <w:szCs w:val="21"/>
              </w:rPr>
              <w:t>建筑工程造价技能实训</w:t>
            </w:r>
            <w:bookmarkEnd w:id="620"/>
            <w:bookmarkEnd w:id="621"/>
            <w:bookmarkEnd w:id="622"/>
          </w:p>
        </w:tc>
        <w:tc>
          <w:tcPr>
            <w:tcW w:w="680" w:type="dxa"/>
            <w:vAlign w:val="center"/>
          </w:tcPr>
          <w:p>
            <w:pPr>
              <w:widowControl/>
              <w:jc w:val="both"/>
              <w:outlineLvl w:val="0"/>
              <w:rPr>
                <w:rFonts w:ascii="宋体" w:cs="宋体"/>
                <w:kern w:val="0"/>
                <w:szCs w:val="21"/>
              </w:rPr>
            </w:pPr>
            <w:bookmarkStart w:id="623" w:name="_Toc21859"/>
            <w:bookmarkStart w:id="624" w:name="_Toc18423"/>
            <w:bookmarkStart w:id="625" w:name="_Toc26166"/>
            <w:r>
              <w:rPr>
                <w:rFonts w:hint="eastAsia" w:ascii="宋体" w:hAnsi="宋体" w:cs="宋体"/>
                <w:kern w:val="0"/>
                <w:szCs w:val="21"/>
              </w:rPr>
              <w:t>专业课</w:t>
            </w:r>
            <w:bookmarkEnd w:id="623"/>
            <w:bookmarkEnd w:id="624"/>
            <w:bookmarkEnd w:id="625"/>
          </w:p>
        </w:tc>
        <w:tc>
          <w:tcPr>
            <w:tcW w:w="3235" w:type="dxa"/>
            <w:vAlign w:val="center"/>
          </w:tcPr>
          <w:p>
            <w:pPr>
              <w:widowControl/>
              <w:jc w:val="both"/>
              <w:outlineLvl w:val="0"/>
              <w:rPr>
                <w:rFonts w:ascii="宋体" w:cs="宋体"/>
                <w:kern w:val="0"/>
                <w:szCs w:val="21"/>
              </w:rPr>
            </w:pPr>
            <w:bookmarkStart w:id="626" w:name="_Toc26010"/>
            <w:bookmarkStart w:id="627" w:name="_Toc22453"/>
            <w:bookmarkStart w:id="628" w:name="_Toc27734"/>
            <w:r>
              <w:rPr>
                <w:rFonts w:hint="eastAsia" w:ascii="宋体" w:hAnsi="宋体"/>
                <w:szCs w:val="21"/>
              </w:rPr>
              <w:t>系统地识图，土方、基础、垫层工程计量，混凝土、模板工程计量，门窗及砌筑工程计量，屋面工程、附属工程量，楼地面、天棚、墙柱面工程计量，计价软件取费、套价，导出预算书成果等。</w:t>
            </w:r>
            <w:bookmarkEnd w:id="626"/>
            <w:bookmarkEnd w:id="627"/>
            <w:bookmarkEnd w:id="628"/>
          </w:p>
        </w:tc>
        <w:tc>
          <w:tcPr>
            <w:tcW w:w="3740" w:type="dxa"/>
            <w:vAlign w:val="center"/>
          </w:tcPr>
          <w:p>
            <w:pPr>
              <w:widowControl/>
              <w:jc w:val="both"/>
              <w:outlineLvl w:val="0"/>
              <w:rPr>
                <w:rFonts w:ascii="宋体" w:cs="宋体"/>
                <w:kern w:val="0"/>
                <w:szCs w:val="21"/>
              </w:rPr>
            </w:pPr>
            <w:bookmarkStart w:id="629" w:name="_Toc10866"/>
            <w:bookmarkStart w:id="630" w:name="_Toc14811"/>
            <w:bookmarkStart w:id="631" w:name="_Toc22411"/>
            <w:r>
              <w:rPr>
                <w:rFonts w:hint="eastAsia" w:ascii="宋体" w:hAnsi="宋体"/>
                <w:szCs w:val="21"/>
              </w:rPr>
              <w:t>培养造价从业人员所必需的思维方式和团结协作的职业素养，系统的掌握施工图预算的编制程序，熟悉建筑和装饰工程计量计价的方法。能够依据施工图纸完成各分部分项工程量的计算，并应用计价软件完成整套施工图预算文件的编制。</w:t>
            </w:r>
            <w:bookmarkEnd w:id="629"/>
            <w:bookmarkEnd w:id="630"/>
            <w:bookmarkEnd w:id="6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632" w:name="_Toc12189"/>
            <w:bookmarkStart w:id="633" w:name="_Toc1656"/>
            <w:bookmarkStart w:id="634" w:name="_Toc23965"/>
            <w:r>
              <w:rPr>
                <w:rFonts w:hint="eastAsia" w:ascii="宋体" w:hAnsi="宋体" w:cs="宋体"/>
                <w:kern w:val="0"/>
                <w:szCs w:val="21"/>
              </w:rPr>
              <w:t>19</w:t>
            </w:r>
            <w:bookmarkEnd w:id="632"/>
            <w:bookmarkEnd w:id="633"/>
            <w:bookmarkEnd w:id="634"/>
          </w:p>
        </w:tc>
        <w:tc>
          <w:tcPr>
            <w:tcW w:w="857" w:type="dxa"/>
            <w:vAlign w:val="center"/>
          </w:tcPr>
          <w:p>
            <w:pPr>
              <w:widowControl/>
              <w:jc w:val="both"/>
              <w:outlineLvl w:val="0"/>
              <w:rPr>
                <w:rFonts w:ascii="宋体" w:hAnsi="宋体"/>
                <w:szCs w:val="21"/>
              </w:rPr>
            </w:pPr>
            <w:bookmarkStart w:id="635" w:name="_Toc18550"/>
            <w:bookmarkStart w:id="636" w:name="_Toc4578"/>
            <w:bookmarkStart w:id="637" w:name="_Toc29446"/>
            <w:r>
              <w:rPr>
                <w:rFonts w:hint="eastAsia" w:ascii="宋体" w:hAnsi="宋体"/>
                <w:szCs w:val="21"/>
              </w:rPr>
              <w:t>建设工程管理综合实训</w:t>
            </w:r>
            <w:bookmarkEnd w:id="635"/>
            <w:bookmarkEnd w:id="636"/>
            <w:bookmarkEnd w:id="637"/>
          </w:p>
        </w:tc>
        <w:tc>
          <w:tcPr>
            <w:tcW w:w="680" w:type="dxa"/>
            <w:vAlign w:val="center"/>
          </w:tcPr>
          <w:p>
            <w:pPr>
              <w:widowControl/>
              <w:jc w:val="both"/>
              <w:outlineLvl w:val="0"/>
              <w:rPr>
                <w:rFonts w:ascii="宋体" w:hAnsi="宋体" w:cs="宋体"/>
                <w:kern w:val="0"/>
                <w:szCs w:val="21"/>
              </w:rPr>
            </w:pPr>
            <w:bookmarkStart w:id="638" w:name="_Toc23183"/>
            <w:bookmarkStart w:id="639" w:name="_Toc31889"/>
            <w:bookmarkStart w:id="640" w:name="_Toc32732"/>
            <w:r>
              <w:rPr>
                <w:rFonts w:hint="eastAsia" w:ascii="宋体" w:hAnsi="宋体" w:cs="宋体"/>
                <w:kern w:val="0"/>
                <w:szCs w:val="21"/>
              </w:rPr>
              <w:t>专业课</w:t>
            </w:r>
            <w:bookmarkEnd w:id="638"/>
            <w:bookmarkEnd w:id="639"/>
            <w:bookmarkEnd w:id="640"/>
          </w:p>
        </w:tc>
        <w:tc>
          <w:tcPr>
            <w:tcW w:w="3235" w:type="dxa"/>
            <w:vAlign w:val="center"/>
          </w:tcPr>
          <w:p>
            <w:pPr>
              <w:widowControl/>
              <w:jc w:val="both"/>
              <w:outlineLvl w:val="0"/>
              <w:rPr>
                <w:rFonts w:ascii="宋体" w:hAnsi="宋体"/>
                <w:szCs w:val="21"/>
              </w:rPr>
            </w:pPr>
            <w:bookmarkStart w:id="641" w:name="_Toc19785"/>
            <w:bookmarkStart w:id="642" w:name="_Toc13224"/>
            <w:bookmarkStart w:id="643" w:name="_Toc26204"/>
            <w:r>
              <w:rPr>
                <w:rFonts w:hint="eastAsia" w:ascii="宋体" w:hAnsi="宋体"/>
                <w:szCs w:val="21"/>
              </w:rPr>
              <w:t>根据实际工程背景资料，编制招标文件；根据招标文件，编制投标文件。</w:t>
            </w:r>
            <w:bookmarkEnd w:id="641"/>
            <w:bookmarkEnd w:id="642"/>
            <w:bookmarkEnd w:id="643"/>
          </w:p>
        </w:tc>
        <w:tc>
          <w:tcPr>
            <w:tcW w:w="3740" w:type="dxa"/>
            <w:vAlign w:val="center"/>
          </w:tcPr>
          <w:p>
            <w:pPr>
              <w:widowControl/>
              <w:jc w:val="both"/>
              <w:outlineLvl w:val="0"/>
              <w:rPr>
                <w:rFonts w:ascii="宋体" w:hAnsi="宋体"/>
                <w:szCs w:val="21"/>
              </w:rPr>
            </w:pPr>
            <w:bookmarkStart w:id="644" w:name="_Toc32054"/>
            <w:bookmarkStart w:id="645" w:name="_Toc3880"/>
            <w:bookmarkStart w:id="646" w:name="_Toc28484"/>
            <w:r>
              <w:rPr>
                <w:rFonts w:hint="eastAsia" w:ascii="宋体" w:hAnsi="宋体"/>
                <w:szCs w:val="21"/>
              </w:rPr>
              <w:t>综合运用所学知识，根据工程图纸等背景资料，按照清单计价规范、预算定额，编制工程量清单、完成招标文件；根据招标文件，完成清单计价，形成商务标和技术标。</w:t>
            </w:r>
            <w:bookmarkEnd w:id="644"/>
            <w:bookmarkEnd w:id="645"/>
            <w:bookmarkEnd w:id="6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647" w:name="_Toc2960"/>
            <w:bookmarkStart w:id="648" w:name="_Toc1994"/>
            <w:bookmarkStart w:id="649" w:name="_Toc13569"/>
            <w:r>
              <w:rPr>
                <w:rFonts w:ascii="宋体" w:hAnsi="宋体" w:cs="宋体"/>
                <w:kern w:val="0"/>
                <w:szCs w:val="21"/>
              </w:rPr>
              <w:t>2</w:t>
            </w:r>
            <w:r>
              <w:rPr>
                <w:rFonts w:hint="eastAsia" w:ascii="宋体" w:hAnsi="宋体" w:cs="宋体"/>
                <w:kern w:val="0"/>
                <w:szCs w:val="21"/>
              </w:rPr>
              <w:t>0</w:t>
            </w:r>
            <w:bookmarkEnd w:id="647"/>
            <w:bookmarkEnd w:id="648"/>
            <w:bookmarkEnd w:id="649"/>
          </w:p>
        </w:tc>
        <w:tc>
          <w:tcPr>
            <w:tcW w:w="857" w:type="dxa"/>
            <w:vAlign w:val="center"/>
          </w:tcPr>
          <w:p>
            <w:pPr>
              <w:widowControl/>
              <w:jc w:val="both"/>
              <w:outlineLvl w:val="0"/>
              <w:rPr>
                <w:rFonts w:ascii="宋体" w:cs="宋体"/>
                <w:kern w:val="0"/>
                <w:szCs w:val="21"/>
              </w:rPr>
            </w:pPr>
            <w:bookmarkStart w:id="650" w:name="_Toc8914"/>
            <w:bookmarkStart w:id="651" w:name="_Toc5167"/>
            <w:bookmarkStart w:id="652" w:name="_Toc16736"/>
            <w:r>
              <w:rPr>
                <w:rFonts w:hint="eastAsia" w:ascii="宋体" w:hAnsi="宋体"/>
                <w:szCs w:val="21"/>
              </w:rPr>
              <w:t>企业实践</w:t>
            </w:r>
            <w:bookmarkEnd w:id="650"/>
            <w:bookmarkEnd w:id="651"/>
            <w:bookmarkEnd w:id="652"/>
          </w:p>
        </w:tc>
        <w:tc>
          <w:tcPr>
            <w:tcW w:w="680" w:type="dxa"/>
            <w:vAlign w:val="center"/>
          </w:tcPr>
          <w:p>
            <w:pPr>
              <w:widowControl/>
              <w:jc w:val="both"/>
              <w:outlineLvl w:val="0"/>
              <w:rPr>
                <w:rFonts w:ascii="宋体" w:cs="宋体"/>
                <w:kern w:val="0"/>
                <w:szCs w:val="21"/>
              </w:rPr>
            </w:pPr>
            <w:bookmarkStart w:id="653" w:name="_Toc7"/>
            <w:bookmarkStart w:id="654" w:name="_Toc1301"/>
            <w:bookmarkStart w:id="655" w:name="_Toc18095"/>
            <w:r>
              <w:rPr>
                <w:rFonts w:hint="eastAsia" w:ascii="宋体" w:hAnsi="宋体" w:cs="宋体"/>
                <w:kern w:val="0"/>
                <w:szCs w:val="21"/>
              </w:rPr>
              <w:t>专业课</w:t>
            </w:r>
            <w:bookmarkEnd w:id="653"/>
            <w:bookmarkEnd w:id="654"/>
            <w:bookmarkEnd w:id="655"/>
          </w:p>
        </w:tc>
        <w:tc>
          <w:tcPr>
            <w:tcW w:w="3235" w:type="dxa"/>
            <w:vAlign w:val="center"/>
          </w:tcPr>
          <w:p>
            <w:pPr>
              <w:widowControl/>
              <w:jc w:val="both"/>
              <w:outlineLvl w:val="0"/>
              <w:rPr>
                <w:rFonts w:ascii="宋体" w:cs="宋体"/>
                <w:kern w:val="0"/>
                <w:szCs w:val="21"/>
              </w:rPr>
            </w:pPr>
            <w:bookmarkStart w:id="656" w:name="_Toc425"/>
            <w:bookmarkStart w:id="657" w:name="_Toc17752"/>
            <w:bookmarkStart w:id="658" w:name="_Toc11760"/>
            <w:r>
              <w:rPr>
                <w:rFonts w:hint="eastAsia" w:ascii="宋体" w:hAnsi="宋体"/>
                <w:szCs w:val="21"/>
              </w:rPr>
              <w:t>熟悉企业的组织及整体运作模式，掌握工程项目施工现场一线管理人员岗位的工作程序与专业技能，开阔学生视野，丰富学生的知识结构。</w:t>
            </w:r>
            <w:bookmarkEnd w:id="656"/>
            <w:bookmarkEnd w:id="657"/>
            <w:bookmarkEnd w:id="658"/>
          </w:p>
        </w:tc>
        <w:tc>
          <w:tcPr>
            <w:tcW w:w="3740" w:type="dxa"/>
            <w:vAlign w:val="center"/>
          </w:tcPr>
          <w:p>
            <w:pPr>
              <w:widowControl/>
              <w:jc w:val="both"/>
              <w:outlineLvl w:val="0"/>
              <w:rPr>
                <w:rFonts w:ascii="宋体" w:cs="宋体"/>
                <w:kern w:val="0"/>
                <w:szCs w:val="21"/>
              </w:rPr>
            </w:pPr>
            <w:bookmarkStart w:id="659" w:name="_Toc27253"/>
            <w:bookmarkStart w:id="660" w:name="_Toc3103"/>
            <w:bookmarkStart w:id="661" w:name="_Toc28494"/>
            <w:r>
              <w:rPr>
                <w:rFonts w:hint="eastAsia" w:ascii="宋体" w:hAnsi="宋体"/>
                <w:szCs w:val="21"/>
              </w:rPr>
              <w:t>每一位同学根据实践岗位，在企业指导老师与校内指导老师共同指导下，完成该课程的学习，由校内指导教师和企业指导教师综合评定，培养良好的职业素质与团队精神，进一步提高学生分析问题和解决问题的能力，为后续就业适岗打下专业技能基础。</w:t>
            </w:r>
            <w:bookmarkEnd w:id="659"/>
            <w:bookmarkEnd w:id="660"/>
            <w:bookmarkEnd w:id="6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662" w:name="_Toc31404"/>
            <w:bookmarkStart w:id="663" w:name="_Toc8138"/>
            <w:bookmarkStart w:id="664" w:name="_Toc28609"/>
            <w:r>
              <w:rPr>
                <w:rFonts w:ascii="宋体" w:hAnsi="宋体" w:cs="宋体"/>
                <w:kern w:val="0"/>
                <w:szCs w:val="21"/>
              </w:rPr>
              <w:t>2</w:t>
            </w:r>
            <w:r>
              <w:rPr>
                <w:rFonts w:hint="eastAsia" w:ascii="宋体" w:hAnsi="宋体" w:cs="宋体"/>
                <w:kern w:val="0"/>
                <w:szCs w:val="21"/>
              </w:rPr>
              <w:t>1</w:t>
            </w:r>
            <w:bookmarkEnd w:id="662"/>
            <w:bookmarkEnd w:id="663"/>
            <w:bookmarkEnd w:id="664"/>
          </w:p>
        </w:tc>
        <w:tc>
          <w:tcPr>
            <w:tcW w:w="857" w:type="dxa"/>
            <w:vAlign w:val="center"/>
          </w:tcPr>
          <w:p>
            <w:pPr>
              <w:widowControl/>
              <w:jc w:val="both"/>
              <w:outlineLvl w:val="0"/>
              <w:rPr>
                <w:rFonts w:ascii="宋体" w:cs="宋体"/>
                <w:kern w:val="0"/>
                <w:szCs w:val="21"/>
              </w:rPr>
            </w:pPr>
            <w:bookmarkStart w:id="665" w:name="_Toc28451"/>
            <w:bookmarkStart w:id="666" w:name="_Toc28857"/>
            <w:bookmarkStart w:id="667" w:name="_Toc25335"/>
            <w:r>
              <w:rPr>
                <w:rFonts w:hint="eastAsia" w:ascii="宋体" w:hAnsi="宋体"/>
                <w:szCs w:val="21"/>
              </w:rPr>
              <w:t>创业指导</w:t>
            </w:r>
            <w:bookmarkEnd w:id="665"/>
            <w:bookmarkEnd w:id="666"/>
            <w:bookmarkEnd w:id="667"/>
          </w:p>
        </w:tc>
        <w:tc>
          <w:tcPr>
            <w:tcW w:w="680" w:type="dxa"/>
            <w:vAlign w:val="center"/>
          </w:tcPr>
          <w:p>
            <w:pPr>
              <w:widowControl/>
              <w:jc w:val="both"/>
              <w:outlineLvl w:val="0"/>
              <w:rPr>
                <w:rFonts w:ascii="宋体" w:cs="宋体"/>
                <w:kern w:val="0"/>
                <w:szCs w:val="21"/>
              </w:rPr>
            </w:pPr>
            <w:bookmarkStart w:id="668" w:name="_Toc21406"/>
            <w:bookmarkStart w:id="669" w:name="_Toc20045"/>
            <w:bookmarkStart w:id="670" w:name="_Toc9495"/>
            <w:r>
              <w:rPr>
                <w:rFonts w:hint="eastAsia" w:ascii="宋体" w:hAnsi="宋体" w:cs="宋体"/>
                <w:kern w:val="0"/>
                <w:szCs w:val="21"/>
              </w:rPr>
              <w:t>专业课</w:t>
            </w:r>
            <w:bookmarkEnd w:id="668"/>
            <w:bookmarkEnd w:id="669"/>
            <w:bookmarkEnd w:id="670"/>
          </w:p>
        </w:tc>
        <w:tc>
          <w:tcPr>
            <w:tcW w:w="3235" w:type="dxa"/>
            <w:vAlign w:val="center"/>
          </w:tcPr>
          <w:p>
            <w:pPr>
              <w:widowControl/>
              <w:jc w:val="both"/>
              <w:outlineLvl w:val="0"/>
              <w:rPr>
                <w:rFonts w:ascii="宋体" w:cs="宋体"/>
                <w:kern w:val="0"/>
                <w:szCs w:val="21"/>
              </w:rPr>
            </w:pPr>
            <w:bookmarkStart w:id="671" w:name="_Toc3322"/>
            <w:bookmarkStart w:id="672" w:name="_Toc10201"/>
            <w:bookmarkStart w:id="673" w:name="_Toc24356"/>
            <w:r>
              <w:rPr>
                <w:rFonts w:hint="eastAsia" w:ascii="宋体" w:hAnsi="宋体"/>
                <w:szCs w:val="21"/>
              </w:rPr>
              <w:t>创业指导课程内容分为创业概念、商机和市场模块、创业者与创业团队模块、创业方案策划与分析</w:t>
            </w:r>
            <w:r>
              <w:rPr>
                <w:rFonts w:ascii="宋体" w:hAnsi="宋体"/>
                <w:szCs w:val="21"/>
              </w:rPr>
              <w:t>4</w:t>
            </w:r>
            <w:r>
              <w:rPr>
                <w:rFonts w:hint="eastAsia" w:ascii="宋体" w:hAnsi="宋体"/>
                <w:szCs w:val="21"/>
              </w:rPr>
              <w:t>个教学模块。</w:t>
            </w:r>
            <w:bookmarkEnd w:id="671"/>
            <w:bookmarkEnd w:id="672"/>
            <w:bookmarkEnd w:id="673"/>
          </w:p>
        </w:tc>
        <w:tc>
          <w:tcPr>
            <w:tcW w:w="3740" w:type="dxa"/>
            <w:vAlign w:val="center"/>
          </w:tcPr>
          <w:p>
            <w:pPr>
              <w:widowControl/>
              <w:jc w:val="both"/>
              <w:outlineLvl w:val="0"/>
              <w:rPr>
                <w:rFonts w:ascii="宋体" w:cs="宋体"/>
                <w:kern w:val="0"/>
                <w:szCs w:val="21"/>
              </w:rPr>
            </w:pPr>
            <w:bookmarkStart w:id="674" w:name="_Toc26410"/>
            <w:bookmarkStart w:id="675" w:name="_Toc23050"/>
            <w:bookmarkStart w:id="676" w:name="_Toc29863"/>
            <w:r>
              <w:rPr>
                <w:rFonts w:hint="eastAsia" w:ascii="宋体" w:hAnsi="宋体"/>
                <w:szCs w:val="21"/>
              </w:rPr>
              <w:t>创业指导课程力图对高职生创业观念进行科学指导，培养他们的创业意识，帮助他们正确认识企业在社会中的作用和自我雇用，了解创办和经营企业的基本知识和实践技能，从而提升他们的创业能力和就业能力。</w:t>
            </w:r>
            <w:bookmarkEnd w:id="674"/>
            <w:bookmarkEnd w:id="675"/>
            <w:bookmarkEnd w:id="6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677" w:name="_Toc21953"/>
            <w:bookmarkStart w:id="678" w:name="_Toc1517"/>
            <w:bookmarkStart w:id="679" w:name="_Toc23116"/>
            <w:r>
              <w:rPr>
                <w:rFonts w:ascii="宋体" w:hAnsi="宋体" w:cs="宋体"/>
                <w:kern w:val="0"/>
                <w:szCs w:val="21"/>
              </w:rPr>
              <w:t>2</w:t>
            </w:r>
            <w:r>
              <w:rPr>
                <w:rFonts w:hint="eastAsia" w:ascii="宋体" w:hAnsi="宋体" w:cs="宋体"/>
                <w:kern w:val="0"/>
                <w:szCs w:val="21"/>
              </w:rPr>
              <w:t>2</w:t>
            </w:r>
            <w:bookmarkEnd w:id="677"/>
            <w:bookmarkEnd w:id="678"/>
            <w:bookmarkEnd w:id="679"/>
          </w:p>
        </w:tc>
        <w:tc>
          <w:tcPr>
            <w:tcW w:w="857" w:type="dxa"/>
            <w:vAlign w:val="center"/>
          </w:tcPr>
          <w:p>
            <w:pPr>
              <w:widowControl/>
              <w:jc w:val="both"/>
              <w:outlineLvl w:val="0"/>
              <w:rPr>
                <w:rFonts w:ascii="宋体" w:cs="宋体"/>
                <w:kern w:val="0"/>
                <w:szCs w:val="21"/>
              </w:rPr>
            </w:pPr>
            <w:bookmarkStart w:id="680" w:name="_Toc8888"/>
            <w:bookmarkStart w:id="681" w:name="_Toc32270"/>
            <w:bookmarkStart w:id="682" w:name="_Toc9020"/>
            <w:r>
              <w:rPr>
                <w:rFonts w:hint="eastAsia" w:ascii="宋体" w:hAnsi="宋体"/>
                <w:szCs w:val="21"/>
              </w:rPr>
              <w:t>职业素养教育</w:t>
            </w:r>
            <w:bookmarkEnd w:id="680"/>
            <w:bookmarkEnd w:id="681"/>
            <w:bookmarkEnd w:id="682"/>
          </w:p>
        </w:tc>
        <w:tc>
          <w:tcPr>
            <w:tcW w:w="680" w:type="dxa"/>
            <w:vAlign w:val="center"/>
          </w:tcPr>
          <w:p>
            <w:pPr>
              <w:widowControl/>
              <w:jc w:val="both"/>
              <w:outlineLvl w:val="0"/>
              <w:rPr>
                <w:rFonts w:ascii="宋体" w:cs="宋体"/>
                <w:kern w:val="0"/>
                <w:szCs w:val="21"/>
              </w:rPr>
            </w:pPr>
            <w:bookmarkStart w:id="683" w:name="_Toc268"/>
            <w:bookmarkStart w:id="684" w:name="_Toc6331"/>
            <w:bookmarkStart w:id="685" w:name="_Toc26472"/>
            <w:r>
              <w:rPr>
                <w:rFonts w:hint="eastAsia" w:ascii="宋体" w:hAnsi="宋体" w:cs="宋体"/>
                <w:kern w:val="0"/>
                <w:szCs w:val="21"/>
              </w:rPr>
              <w:t>专业课</w:t>
            </w:r>
            <w:bookmarkEnd w:id="683"/>
            <w:bookmarkEnd w:id="684"/>
            <w:bookmarkEnd w:id="685"/>
          </w:p>
        </w:tc>
        <w:tc>
          <w:tcPr>
            <w:tcW w:w="3235" w:type="dxa"/>
            <w:vAlign w:val="center"/>
          </w:tcPr>
          <w:p>
            <w:pPr>
              <w:widowControl/>
              <w:jc w:val="both"/>
              <w:outlineLvl w:val="0"/>
              <w:rPr>
                <w:rFonts w:ascii="宋体" w:cs="宋体"/>
                <w:kern w:val="0"/>
                <w:szCs w:val="21"/>
              </w:rPr>
            </w:pPr>
            <w:bookmarkStart w:id="686" w:name="_Toc10261"/>
            <w:bookmarkStart w:id="687" w:name="_Toc7222"/>
            <w:bookmarkStart w:id="688" w:name="_Toc1985"/>
            <w:r>
              <w:rPr>
                <w:rFonts w:hint="eastAsia" w:ascii="宋体" w:hAnsi="宋体"/>
                <w:szCs w:val="21"/>
              </w:rPr>
              <w:t>准备阶段、实施阶段、总结阶段三个模块，其中实施阶段又分为职业素养基本认知、十大职业素养养成、工程类专业人员职业素养实践</w:t>
            </w:r>
            <w:r>
              <w:rPr>
                <w:rFonts w:ascii="宋体" w:hAnsi="宋体"/>
                <w:szCs w:val="21"/>
              </w:rPr>
              <w:t>3</w:t>
            </w:r>
            <w:r>
              <w:rPr>
                <w:rFonts w:hint="eastAsia" w:ascii="宋体" w:hAnsi="宋体"/>
                <w:szCs w:val="21"/>
              </w:rPr>
              <w:t>个学习性工作任务。</w:t>
            </w:r>
            <w:bookmarkEnd w:id="686"/>
            <w:bookmarkEnd w:id="687"/>
            <w:bookmarkEnd w:id="688"/>
          </w:p>
        </w:tc>
        <w:tc>
          <w:tcPr>
            <w:tcW w:w="3740" w:type="dxa"/>
            <w:vAlign w:val="center"/>
          </w:tcPr>
          <w:p>
            <w:pPr>
              <w:widowControl/>
              <w:jc w:val="both"/>
              <w:outlineLvl w:val="0"/>
              <w:rPr>
                <w:rFonts w:ascii="宋体" w:cs="宋体"/>
                <w:kern w:val="0"/>
                <w:szCs w:val="21"/>
              </w:rPr>
            </w:pPr>
            <w:bookmarkStart w:id="689" w:name="_Toc30681"/>
            <w:bookmarkStart w:id="690" w:name="_Toc16689"/>
            <w:bookmarkStart w:id="691" w:name="_Toc29693"/>
            <w:r>
              <w:rPr>
                <w:rFonts w:hint="eastAsia" w:ascii="宋体" w:hAnsi="宋体"/>
                <w:szCs w:val="21"/>
              </w:rPr>
              <w:t>培养工程管理从业人员的职业素养，通过施工员、造价员、资料员、监理员等岗位的轮岗实践，学习过程与工作过程相一致，在学习与实践中提升学生职业素养认知，提高其职业品质及能力</w:t>
            </w:r>
            <w:bookmarkEnd w:id="689"/>
            <w:bookmarkEnd w:id="690"/>
            <w:bookmarkEnd w:id="6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692" w:name="_Toc22819"/>
            <w:bookmarkStart w:id="693" w:name="_Toc1582"/>
            <w:bookmarkStart w:id="694" w:name="_Toc6431"/>
            <w:r>
              <w:rPr>
                <w:rFonts w:ascii="宋体" w:hAnsi="宋体" w:cs="宋体"/>
                <w:kern w:val="0"/>
                <w:szCs w:val="21"/>
              </w:rPr>
              <w:t>2</w:t>
            </w:r>
            <w:r>
              <w:rPr>
                <w:rFonts w:hint="eastAsia" w:ascii="宋体" w:hAnsi="宋体" w:cs="宋体"/>
                <w:kern w:val="0"/>
                <w:szCs w:val="21"/>
              </w:rPr>
              <w:t>3</w:t>
            </w:r>
            <w:bookmarkEnd w:id="692"/>
            <w:bookmarkEnd w:id="693"/>
            <w:bookmarkEnd w:id="694"/>
          </w:p>
        </w:tc>
        <w:tc>
          <w:tcPr>
            <w:tcW w:w="857" w:type="dxa"/>
            <w:vAlign w:val="center"/>
          </w:tcPr>
          <w:p>
            <w:pPr>
              <w:widowControl/>
              <w:jc w:val="both"/>
              <w:outlineLvl w:val="0"/>
              <w:rPr>
                <w:rFonts w:ascii="宋体" w:cs="宋体"/>
                <w:kern w:val="0"/>
                <w:szCs w:val="21"/>
              </w:rPr>
            </w:pPr>
            <w:bookmarkStart w:id="695" w:name="_Toc9716"/>
            <w:bookmarkStart w:id="696" w:name="_Toc5337"/>
            <w:bookmarkStart w:id="697" w:name="_Toc14120"/>
            <w:r>
              <w:rPr>
                <w:rFonts w:hint="eastAsia" w:ascii="宋体" w:hAnsi="宋体"/>
                <w:szCs w:val="21"/>
              </w:rPr>
              <w:t>顶岗实习</w:t>
            </w:r>
            <w:bookmarkEnd w:id="695"/>
            <w:bookmarkEnd w:id="696"/>
            <w:bookmarkEnd w:id="697"/>
          </w:p>
        </w:tc>
        <w:tc>
          <w:tcPr>
            <w:tcW w:w="680" w:type="dxa"/>
            <w:vAlign w:val="center"/>
          </w:tcPr>
          <w:p>
            <w:pPr>
              <w:widowControl/>
              <w:jc w:val="both"/>
              <w:outlineLvl w:val="0"/>
              <w:rPr>
                <w:rFonts w:ascii="宋体" w:cs="宋体"/>
                <w:kern w:val="0"/>
                <w:szCs w:val="21"/>
              </w:rPr>
            </w:pPr>
            <w:bookmarkStart w:id="698" w:name="_Toc1572"/>
            <w:bookmarkStart w:id="699" w:name="_Toc9125"/>
            <w:bookmarkStart w:id="700" w:name="_Toc5106"/>
            <w:r>
              <w:rPr>
                <w:rFonts w:hint="eastAsia" w:ascii="宋体" w:hAnsi="宋体" w:cs="宋体"/>
                <w:kern w:val="0"/>
                <w:szCs w:val="21"/>
              </w:rPr>
              <w:t>专业课</w:t>
            </w:r>
            <w:bookmarkEnd w:id="698"/>
            <w:bookmarkEnd w:id="699"/>
            <w:bookmarkEnd w:id="700"/>
          </w:p>
        </w:tc>
        <w:tc>
          <w:tcPr>
            <w:tcW w:w="3235" w:type="dxa"/>
            <w:vAlign w:val="center"/>
          </w:tcPr>
          <w:p>
            <w:pPr>
              <w:widowControl/>
              <w:jc w:val="both"/>
              <w:outlineLvl w:val="0"/>
              <w:rPr>
                <w:rFonts w:ascii="宋体" w:cs="宋体"/>
                <w:kern w:val="0"/>
                <w:szCs w:val="21"/>
              </w:rPr>
            </w:pPr>
            <w:bookmarkStart w:id="701" w:name="_Toc1942"/>
            <w:bookmarkStart w:id="702" w:name="_Toc3020"/>
            <w:bookmarkStart w:id="703" w:name="_Toc31571"/>
            <w:r>
              <w:rPr>
                <w:rFonts w:hint="eastAsia" w:ascii="宋体" w:hAnsi="宋体"/>
                <w:szCs w:val="21"/>
              </w:rPr>
              <w:t>参与工程从开始到竣工所经历的各项技术和管理工作，巩固和深化在校两年来所学知识，以提高学生的专业知识水平、实践动手能力和解决问题的能力。</w:t>
            </w:r>
            <w:bookmarkEnd w:id="701"/>
            <w:bookmarkEnd w:id="702"/>
            <w:bookmarkEnd w:id="703"/>
          </w:p>
        </w:tc>
        <w:tc>
          <w:tcPr>
            <w:tcW w:w="3740" w:type="dxa"/>
            <w:vAlign w:val="center"/>
          </w:tcPr>
          <w:p>
            <w:pPr>
              <w:widowControl/>
              <w:jc w:val="both"/>
              <w:outlineLvl w:val="0"/>
              <w:rPr>
                <w:rFonts w:ascii="宋体" w:cs="宋体"/>
                <w:kern w:val="0"/>
                <w:szCs w:val="21"/>
              </w:rPr>
            </w:pPr>
            <w:bookmarkStart w:id="704" w:name="_Toc31596"/>
            <w:bookmarkStart w:id="705" w:name="_Toc1766"/>
            <w:bookmarkStart w:id="706" w:name="_Toc9380"/>
            <w:r>
              <w:rPr>
                <w:rFonts w:hint="eastAsia" w:ascii="宋体" w:hAnsi="宋体" w:cs="宋体"/>
                <w:kern w:val="0"/>
                <w:szCs w:val="21"/>
              </w:rPr>
              <w:t>通过顶岗实习，训练学生工作岗位职业能力；培养学生工作的责任心、团队合作、创新创业能力。</w:t>
            </w:r>
            <w:bookmarkEnd w:id="704"/>
            <w:bookmarkEnd w:id="705"/>
            <w:bookmarkEnd w:id="7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707" w:name="_Toc23769"/>
            <w:bookmarkStart w:id="708" w:name="_Toc26456"/>
            <w:bookmarkStart w:id="709" w:name="_Toc16453"/>
            <w:r>
              <w:rPr>
                <w:rFonts w:ascii="宋体" w:hAnsi="宋体" w:cs="宋体"/>
                <w:kern w:val="0"/>
                <w:szCs w:val="21"/>
              </w:rPr>
              <w:t>2</w:t>
            </w:r>
            <w:r>
              <w:rPr>
                <w:rFonts w:hint="eastAsia" w:ascii="宋体" w:hAnsi="宋体" w:cs="宋体"/>
                <w:kern w:val="0"/>
                <w:szCs w:val="21"/>
              </w:rPr>
              <w:t>4</w:t>
            </w:r>
            <w:bookmarkEnd w:id="707"/>
            <w:bookmarkEnd w:id="708"/>
            <w:bookmarkEnd w:id="709"/>
          </w:p>
        </w:tc>
        <w:tc>
          <w:tcPr>
            <w:tcW w:w="857" w:type="dxa"/>
            <w:vAlign w:val="center"/>
          </w:tcPr>
          <w:p>
            <w:pPr>
              <w:widowControl/>
              <w:jc w:val="both"/>
              <w:outlineLvl w:val="0"/>
              <w:rPr>
                <w:rFonts w:ascii="宋体" w:cs="宋体"/>
                <w:kern w:val="0"/>
                <w:szCs w:val="21"/>
              </w:rPr>
            </w:pPr>
            <w:bookmarkStart w:id="710" w:name="_Toc20849"/>
            <w:bookmarkStart w:id="711" w:name="_Toc19317"/>
            <w:bookmarkStart w:id="712" w:name="_Toc17628"/>
            <w:r>
              <w:rPr>
                <w:rFonts w:hint="eastAsia" w:ascii="宋体" w:hAnsi="宋体"/>
                <w:szCs w:val="21"/>
              </w:rPr>
              <w:t>毕业设计</w:t>
            </w:r>
            <w:bookmarkEnd w:id="710"/>
            <w:bookmarkEnd w:id="711"/>
            <w:bookmarkEnd w:id="712"/>
          </w:p>
        </w:tc>
        <w:tc>
          <w:tcPr>
            <w:tcW w:w="680" w:type="dxa"/>
            <w:vAlign w:val="center"/>
          </w:tcPr>
          <w:p>
            <w:pPr>
              <w:widowControl/>
              <w:jc w:val="both"/>
              <w:outlineLvl w:val="0"/>
              <w:rPr>
                <w:rFonts w:ascii="宋体" w:cs="宋体"/>
                <w:kern w:val="0"/>
                <w:szCs w:val="21"/>
              </w:rPr>
            </w:pPr>
            <w:bookmarkStart w:id="713" w:name="_Toc31228"/>
            <w:bookmarkStart w:id="714" w:name="_Toc24243"/>
            <w:bookmarkStart w:id="715" w:name="_Toc5654"/>
            <w:r>
              <w:rPr>
                <w:rFonts w:hint="eastAsia" w:ascii="宋体" w:hAnsi="宋体" w:cs="宋体"/>
                <w:kern w:val="0"/>
                <w:szCs w:val="21"/>
              </w:rPr>
              <w:t>专业课</w:t>
            </w:r>
            <w:bookmarkEnd w:id="713"/>
            <w:bookmarkEnd w:id="714"/>
            <w:bookmarkEnd w:id="715"/>
          </w:p>
        </w:tc>
        <w:tc>
          <w:tcPr>
            <w:tcW w:w="3235" w:type="dxa"/>
            <w:vAlign w:val="center"/>
          </w:tcPr>
          <w:p>
            <w:pPr>
              <w:widowControl/>
              <w:jc w:val="both"/>
              <w:outlineLvl w:val="0"/>
              <w:rPr>
                <w:rFonts w:ascii="宋体" w:cs="宋体"/>
                <w:kern w:val="0"/>
                <w:szCs w:val="21"/>
              </w:rPr>
            </w:pPr>
            <w:bookmarkStart w:id="716" w:name="_Toc14998"/>
            <w:bookmarkStart w:id="717" w:name="_Toc13927"/>
            <w:bookmarkStart w:id="718" w:name="_Toc5400"/>
            <w:r>
              <w:rPr>
                <w:rFonts w:hint="eastAsia" w:ascii="宋体" w:hAnsi="宋体" w:cs="宋体"/>
                <w:kern w:val="0"/>
                <w:szCs w:val="21"/>
              </w:rPr>
              <w:t>结合实习工作岗位，从以下四个方向选择一个方向完成毕业设计。</w:t>
            </w:r>
            <w:bookmarkEnd w:id="716"/>
            <w:bookmarkEnd w:id="717"/>
            <w:bookmarkEnd w:id="718"/>
          </w:p>
          <w:p>
            <w:pPr>
              <w:widowControl/>
              <w:jc w:val="both"/>
              <w:outlineLvl w:val="0"/>
              <w:rPr>
                <w:rFonts w:ascii="宋体" w:cs="宋体"/>
                <w:kern w:val="0"/>
                <w:szCs w:val="21"/>
              </w:rPr>
            </w:pPr>
            <w:bookmarkStart w:id="719" w:name="_Toc8839"/>
            <w:bookmarkStart w:id="720" w:name="_Toc19061"/>
            <w:bookmarkStart w:id="721" w:name="_Toc20722"/>
            <w:r>
              <w:rPr>
                <w:rFonts w:ascii="宋体" w:hAnsi="宋体" w:cs="宋体"/>
                <w:kern w:val="0"/>
                <w:szCs w:val="21"/>
              </w:rPr>
              <w:t>1.</w:t>
            </w:r>
            <w:r>
              <w:rPr>
                <w:rFonts w:hint="eastAsia" w:ascii="宋体" w:hAnsi="宋体" w:cs="宋体"/>
                <w:kern w:val="0"/>
                <w:szCs w:val="21"/>
              </w:rPr>
              <w:t>编制施工图预算书；</w:t>
            </w:r>
            <w:bookmarkEnd w:id="719"/>
            <w:bookmarkEnd w:id="720"/>
            <w:bookmarkEnd w:id="721"/>
          </w:p>
          <w:p>
            <w:pPr>
              <w:widowControl/>
              <w:jc w:val="both"/>
              <w:outlineLvl w:val="0"/>
              <w:rPr>
                <w:rFonts w:ascii="宋体" w:cs="宋体"/>
                <w:kern w:val="0"/>
                <w:szCs w:val="21"/>
              </w:rPr>
            </w:pPr>
            <w:bookmarkStart w:id="722" w:name="_Toc9258"/>
            <w:bookmarkStart w:id="723" w:name="_Toc3712"/>
            <w:bookmarkStart w:id="724" w:name="_Toc32754"/>
            <w:r>
              <w:rPr>
                <w:rFonts w:ascii="宋体" w:hAnsi="宋体" w:cs="宋体"/>
                <w:kern w:val="0"/>
                <w:szCs w:val="21"/>
              </w:rPr>
              <w:t>2.</w:t>
            </w:r>
            <w:r>
              <w:rPr>
                <w:rFonts w:hint="eastAsia" w:ascii="宋体" w:hAnsi="宋体" w:cs="宋体"/>
                <w:kern w:val="0"/>
                <w:szCs w:val="21"/>
              </w:rPr>
              <w:t>编制一个单位工程施工组织设计；</w:t>
            </w:r>
            <w:bookmarkEnd w:id="722"/>
            <w:bookmarkEnd w:id="723"/>
            <w:bookmarkEnd w:id="724"/>
          </w:p>
          <w:p>
            <w:pPr>
              <w:widowControl/>
              <w:jc w:val="both"/>
              <w:outlineLvl w:val="0"/>
              <w:rPr>
                <w:rFonts w:ascii="宋体" w:cs="宋体"/>
                <w:kern w:val="0"/>
                <w:szCs w:val="21"/>
              </w:rPr>
            </w:pPr>
            <w:bookmarkStart w:id="725" w:name="_Toc3790"/>
            <w:bookmarkStart w:id="726" w:name="_Toc3244"/>
            <w:bookmarkStart w:id="727" w:name="_Toc25535"/>
            <w:r>
              <w:rPr>
                <w:rFonts w:ascii="宋体" w:hAnsi="宋体" w:cs="宋体"/>
                <w:kern w:val="0"/>
                <w:szCs w:val="21"/>
              </w:rPr>
              <w:t>3.</w:t>
            </w:r>
            <w:r>
              <w:rPr>
                <w:rFonts w:hint="eastAsia" w:ascii="宋体" w:hAnsi="宋体" w:cs="宋体"/>
                <w:kern w:val="0"/>
                <w:szCs w:val="21"/>
              </w:rPr>
              <w:t>编制施工专项方案；</w:t>
            </w:r>
            <w:bookmarkEnd w:id="725"/>
            <w:bookmarkEnd w:id="726"/>
            <w:bookmarkEnd w:id="727"/>
          </w:p>
          <w:p>
            <w:pPr>
              <w:widowControl/>
              <w:jc w:val="both"/>
              <w:outlineLvl w:val="0"/>
              <w:rPr>
                <w:rFonts w:ascii="宋体" w:cs="宋体"/>
                <w:kern w:val="0"/>
                <w:szCs w:val="21"/>
              </w:rPr>
            </w:pPr>
            <w:bookmarkStart w:id="728" w:name="_Toc27754"/>
            <w:bookmarkStart w:id="729" w:name="_Toc4717"/>
            <w:bookmarkStart w:id="730" w:name="_Toc23709"/>
            <w:r>
              <w:rPr>
                <w:rFonts w:ascii="宋体" w:hAnsi="宋体" w:cs="宋体"/>
                <w:kern w:val="0"/>
                <w:szCs w:val="21"/>
              </w:rPr>
              <w:t>4.</w:t>
            </w:r>
            <w:r>
              <w:rPr>
                <w:rFonts w:hint="eastAsia" w:ascii="宋体" w:hAnsi="宋体" w:cs="宋体"/>
                <w:kern w:val="0"/>
                <w:szCs w:val="21"/>
              </w:rPr>
              <w:t>编制商务标；</w:t>
            </w:r>
            <w:bookmarkEnd w:id="728"/>
            <w:bookmarkEnd w:id="729"/>
            <w:bookmarkEnd w:id="730"/>
          </w:p>
        </w:tc>
        <w:tc>
          <w:tcPr>
            <w:tcW w:w="3740" w:type="dxa"/>
            <w:vAlign w:val="center"/>
          </w:tcPr>
          <w:p>
            <w:pPr>
              <w:widowControl/>
              <w:jc w:val="both"/>
              <w:outlineLvl w:val="0"/>
              <w:rPr>
                <w:rFonts w:ascii="宋体" w:cs="宋体"/>
                <w:kern w:val="0"/>
                <w:szCs w:val="21"/>
              </w:rPr>
            </w:pPr>
            <w:bookmarkStart w:id="731" w:name="_Toc30319"/>
            <w:bookmarkStart w:id="732" w:name="_Toc8904"/>
            <w:bookmarkStart w:id="733" w:name="_Toc24865"/>
            <w:r>
              <w:rPr>
                <w:rFonts w:hint="eastAsia" w:ascii="宋体" w:hAnsi="宋体" w:cs="宋体"/>
                <w:kern w:val="0"/>
                <w:szCs w:val="21"/>
              </w:rPr>
              <w:t>根据顶岗实习岗位，选定毕业设计课题，在指导老师的指导下，撰写开题报告，按进度计划完成毕业设计初稿、成果资料。</w:t>
            </w:r>
            <w:bookmarkEnd w:id="731"/>
            <w:bookmarkEnd w:id="732"/>
            <w:bookmarkEnd w:id="7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734" w:name="_Toc15753"/>
            <w:bookmarkStart w:id="735" w:name="_Toc25996"/>
            <w:bookmarkStart w:id="736" w:name="_Toc12909"/>
            <w:r>
              <w:rPr>
                <w:rFonts w:hint="eastAsia" w:ascii="宋体" w:hAnsi="宋体" w:cs="宋体"/>
                <w:kern w:val="0"/>
                <w:szCs w:val="21"/>
              </w:rPr>
              <w:t>25</w:t>
            </w:r>
            <w:bookmarkEnd w:id="734"/>
            <w:bookmarkEnd w:id="735"/>
            <w:bookmarkEnd w:id="736"/>
          </w:p>
        </w:tc>
        <w:tc>
          <w:tcPr>
            <w:tcW w:w="857" w:type="dxa"/>
            <w:vAlign w:val="center"/>
          </w:tcPr>
          <w:p>
            <w:pPr>
              <w:widowControl/>
              <w:jc w:val="both"/>
              <w:outlineLvl w:val="0"/>
              <w:rPr>
                <w:rFonts w:hint="eastAsia" w:ascii="宋体" w:hAnsi="宋体" w:eastAsia="宋体"/>
                <w:szCs w:val="21"/>
                <w:lang w:eastAsia="zh-CN"/>
              </w:rPr>
            </w:pPr>
            <w:bookmarkStart w:id="737" w:name="_Toc4015"/>
            <w:bookmarkStart w:id="738" w:name="_Toc30643"/>
            <w:bookmarkStart w:id="739" w:name="_Toc23922"/>
            <w:r>
              <w:rPr>
                <w:rFonts w:hint="eastAsia" w:ascii="宋体" w:hAnsi="宋体"/>
                <w:szCs w:val="21"/>
                <w:lang w:eastAsia="zh-CN"/>
              </w:rPr>
              <w:t>建筑工程技术资料管理</w:t>
            </w:r>
            <w:bookmarkEnd w:id="737"/>
            <w:bookmarkEnd w:id="738"/>
            <w:bookmarkEnd w:id="739"/>
          </w:p>
        </w:tc>
        <w:tc>
          <w:tcPr>
            <w:tcW w:w="680" w:type="dxa"/>
            <w:vAlign w:val="center"/>
          </w:tcPr>
          <w:p>
            <w:pPr>
              <w:widowControl/>
              <w:jc w:val="both"/>
              <w:outlineLvl w:val="0"/>
              <w:rPr>
                <w:rFonts w:ascii="宋体" w:cs="宋体"/>
                <w:kern w:val="0"/>
                <w:szCs w:val="21"/>
              </w:rPr>
            </w:pPr>
            <w:bookmarkStart w:id="740" w:name="_Toc24078"/>
            <w:bookmarkStart w:id="741" w:name="_Toc20504"/>
            <w:bookmarkStart w:id="742" w:name="_Toc3418"/>
            <w:r>
              <w:rPr>
                <w:rFonts w:hint="eastAsia" w:ascii="宋体" w:hAnsi="宋体" w:cs="宋体"/>
                <w:kern w:val="0"/>
                <w:szCs w:val="21"/>
              </w:rPr>
              <w:t>专业拓展课</w:t>
            </w:r>
            <w:bookmarkEnd w:id="740"/>
            <w:bookmarkEnd w:id="741"/>
            <w:bookmarkEnd w:id="742"/>
          </w:p>
        </w:tc>
        <w:tc>
          <w:tcPr>
            <w:tcW w:w="3235" w:type="dxa"/>
            <w:vAlign w:val="center"/>
          </w:tcPr>
          <w:p>
            <w:pPr>
              <w:widowControl/>
              <w:jc w:val="both"/>
              <w:outlineLvl w:val="0"/>
              <w:rPr>
                <w:rFonts w:ascii="宋体" w:hAnsi="宋体" w:cs="宋体"/>
                <w:kern w:val="0"/>
                <w:szCs w:val="21"/>
              </w:rPr>
            </w:pPr>
            <w:bookmarkStart w:id="743" w:name="_Toc13038"/>
            <w:bookmarkStart w:id="744" w:name="_Toc32714"/>
            <w:bookmarkStart w:id="745" w:name="_Toc423"/>
            <w:r>
              <w:rPr>
                <w:rFonts w:hint="eastAsia" w:ascii="宋体" w:hAnsi="宋体" w:cs="宋体"/>
                <w:kern w:val="0"/>
                <w:szCs w:val="21"/>
              </w:rPr>
              <w:t>工程相关规范的规定；应用品茗资料管理软件编制施工资料的方法；工程资料挂接到鲁班BIM应用平台的方法及应用平台进行资料管理的方法。</w:t>
            </w:r>
            <w:bookmarkEnd w:id="743"/>
            <w:bookmarkEnd w:id="744"/>
            <w:bookmarkEnd w:id="745"/>
          </w:p>
        </w:tc>
        <w:tc>
          <w:tcPr>
            <w:tcW w:w="3740" w:type="dxa"/>
            <w:vAlign w:val="center"/>
          </w:tcPr>
          <w:p>
            <w:pPr>
              <w:widowControl/>
              <w:jc w:val="both"/>
              <w:outlineLvl w:val="0"/>
              <w:rPr>
                <w:rFonts w:ascii="宋体" w:hAnsi="宋体" w:cs="宋体"/>
                <w:kern w:val="0"/>
                <w:szCs w:val="21"/>
              </w:rPr>
            </w:pPr>
            <w:bookmarkStart w:id="746" w:name="_Toc2310"/>
            <w:bookmarkStart w:id="747" w:name="_Toc21954"/>
            <w:bookmarkStart w:id="748" w:name="_Toc5091"/>
            <w:r>
              <w:rPr>
                <w:rFonts w:hint="eastAsia" w:ascii="宋体" w:hAnsi="宋体" w:cs="宋体"/>
                <w:kern w:val="0"/>
                <w:szCs w:val="21"/>
              </w:rPr>
              <w:t>能够利用</w:t>
            </w:r>
            <w:r>
              <w:rPr>
                <w:rFonts w:hint="eastAsia" w:ascii="宋体" w:hAnsi="宋体" w:cs="宋体"/>
                <w:kern w:val="0"/>
                <w:szCs w:val="21"/>
                <w:lang w:eastAsia="zh-CN"/>
              </w:rPr>
              <w:t>建筑工程技术资料管理</w:t>
            </w:r>
            <w:r>
              <w:rPr>
                <w:rFonts w:hint="eastAsia" w:ascii="宋体" w:hAnsi="宋体" w:cs="宋体"/>
                <w:kern w:val="0"/>
                <w:szCs w:val="21"/>
              </w:rPr>
              <w:t>的相关知识，熟练依据工程相关规范，应用品茗资料管理软件完成中小型实际工程土建施工资料的收集、编制，并能够熟练将工程资料挂接到鲁班BIM应用平台，实现工程资料的信息化过程管理与归档管理，助力培养学生的工程精细化管理能力，为从业从事资料员等建筑类职业岗位工作奠定坚实基础。</w:t>
            </w:r>
            <w:bookmarkEnd w:id="746"/>
            <w:bookmarkEnd w:id="747"/>
            <w:bookmarkEnd w:id="7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0" w:type="auto"/>
            <w:vAlign w:val="center"/>
          </w:tcPr>
          <w:p>
            <w:pPr>
              <w:widowControl/>
              <w:jc w:val="both"/>
              <w:outlineLvl w:val="0"/>
              <w:rPr>
                <w:rFonts w:ascii="宋体" w:hAnsi="宋体" w:cs="宋体"/>
                <w:kern w:val="0"/>
                <w:szCs w:val="21"/>
              </w:rPr>
            </w:pPr>
            <w:bookmarkStart w:id="749" w:name="_Toc2695"/>
            <w:bookmarkStart w:id="750" w:name="_Toc13725"/>
            <w:bookmarkStart w:id="751" w:name="_Toc24124"/>
            <w:r>
              <w:rPr>
                <w:rFonts w:hint="eastAsia" w:ascii="宋体" w:hAnsi="宋体" w:cs="宋体"/>
                <w:kern w:val="0"/>
                <w:szCs w:val="21"/>
              </w:rPr>
              <w:t>26</w:t>
            </w:r>
            <w:bookmarkEnd w:id="749"/>
            <w:bookmarkEnd w:id="750"/>
            <w:bookmarkEnd w:id="751"/>
          </w:p>
        </w:tc>
        <w:tc>
          <w:tcPr>
            <w:tcW w:w="857" w:type="dxa"/>
            <w:vAlign w:val="center"/>
          </w:tcPr>
          <w:p>
            <w:pPr>
              <w:widowControl/>
              <w:jc w:val="both"/>
              <w:outlineLvl w:val="0"/>
              <w:rPr>
                <w:rFonts w:ascii="宋体" w:hAnsi="宋体"/>
                <w:szCs w:val="21"/>
              </w:rPr>
            </w:pPr>
            <w:bookmarkStart w:id="752" w:name="_Toc13529"/>
            <w:bookmarkStart w:id="753" w:name="_Toc32248"/>
            <w:bookmarkStart w:id="754" w:name="_Toc20665"/>
            <w:r>
              <w:rPr>
                <w:rFonts w:hint="eastAsia" w:ascii="宋体" w:hAnsi="宋体"/>
                <w:szCs w:val="21"/>
              </w:rPr>
              <w:t>新型建筑工业化概论</w:t>
            </w:r>
            <w:bookmarkEnd w:id="752"/>
            <w:bookmarkEnd w:id="753"/>
            <w:bookmarkEnd w:id="754"/>
          </w:p>
        </w:tc>
        <w:tc>
          <w:tcPr>
            <w:tcW w:w="680" w:type="dxa"/>
            <w:vAlign w:val="center"/>
          </w:tcPr>
          <w:p>
            <w:pPr>
              <w:widowControl/>
              <w:jc w:val="both"/>
              <w:outlineLvl w:val="0"/>
              <w:rPr>
                <w:rFonts w:ascii="宋体" w:cs="宋体"/>
                <w:kern w:val="0"/>
                <w:szCs w:val="21"/>
              </w:rPr>
            </w:pPr>
            <w:bookmarkStart w:id="755" w:name="_Toc15058"/>
            <w:bookmarkStart w:id="756" w:name="_Toc1430"/>
            <w:bookmarkStart w:id="757" w:name="_Toc18074"/>
            <w:r>
              <w:rPr>
                <w:rFonts w:hint="eastAsia" w:ascii="宋体" w:hAnsi="宋体" w:cs="宋体"/>
                <w:kern w:val="0"/>
                <w:szCs w:val="21"/>
              </w:rPr>
              <w:t>专业拓展课</w:t>
            </w:r>
            <w:bookmarkEnd w:id="755"/>
            <w:bookmarkEnd w:id="756"/>
            <w:bookmarkEnd w:id="757"/>
          </w:p>
        </w:tc>
        <w:tc>
          <w:tcPr>
            <w:tcW w:w="3235" w:type="dxa"/>
            <w:vAlign w:val="center"/>
          </w:tcPr>
          <w:p>
            <w:pPr>
              <w:widowControl/>
              <w:jc w:val="both"/>
              <w:outlineLvl w:val="0"/>
              <w:rPr>
                <w:rFonts w:ascii="宋体" w:hAnsi="宋体" w:cs="宋体"/>
                <w:kern w:val="0"/>
                <w:szCs w:val="21"/>
              </w:rPr>
            </w:pPr>
            <w:bookmarkStart w:id="758" w:name="_Toc9675"/>
            <w:bookmarkStart w:id="759" w:name="_Toc17250"/>
            <w:bookmarkStart w:id="760" w:name="_Toc30491"/>
            <w:r>
              <w:rPr>
                <w:rFonts w:hint="eastAsia" w:ascii="宋体" w:hAnsi="宋体" w:cs="宋体"/>
                <w:kern w:val="0"/>
                <w:szCs w:val="21"/>
              </w:rPr>
              <w:t>通过本课程的学习，了解建筑业转型发展趋势及新型建筑工业化发展概况，掌握现代结构技术、装配制造技术、相关支撑技术等新型建筑生产方式，熟悉BIM技术在建筑工业化中的应用。</w:t>
            </w:r>
            <w:bookmarkEnd w:id="758"/>
            <w:bookmarkEnd w:id="759"/>
            <w:bookmarkEnd w:id="760"/>
          </w:p>
        </w:tc>
        <w:tc>
          <w:tcPr>
            <w:tcW w:w="3740" w:type="dxa"/>
            <w:vAlign w:val="center"/>
          </w:tcPr>
          <w:p>
            <w:pPr>
              <w:widowControl/>
              <w:jc w:val="both"/>
              <w:outlineLvl w:val="0"/>
              <w:rPr>
                <w:rFonts w:ascii="宋体" w:hAnsi="宋体" w:cs="宋体"/>
                <w:kern w:val="0"/>
                <w:szCs w:val="21"/>
              </w:rPr>
            </w:pPr>
            <w:bookmarkStart w:id="761" w:name="_Toc2856"/>
            <w:bookmarkStart w:id="762" w:name="_Toc26619"/>
            <w:bookmarkStart w:id="763" w:name="_Toc153"/>
            <w:r>
              <w:rPr>
                <w:rFonts w:hint="eastAsia" w:ascii="宋体" w:hAnsi="宋体" w:cs="宋体"/>
                <w:kern w:val="0"/>
                <w:szCs w:val="21"/>
              </w:rPr>
              <w:t>通过课程学习让学生了解建筑业转型发展趋势及新型建筑工业化发展概况，掌握现代结构技术、装配制造技术及相关先进支撑技术等新型建筑生产方式，熟悉BIM技术在建筑工业化中的应用，提高学生综合素养。</w:t>
            </w:r>
            <w:bookmarkEnd w:id="761"/>
            <w:bookmarkEnd w:id="762"/>
            <w:bookmarkEnd w:id="7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764" w:name="_Toc8218"/>
            <w:bookmarkStart w:id="765" w:name="_Toc3174"/>
            <w:bookmarkStart w:id="766" w:name="_Toc24274"/>
            <w:r>
              <w:rPr>
                <w:rFonts w:hint="eastAsia" w:ascii="宋体" w:hAnsi="宋体" w:cs="宋体"/>
                <w:kern w:val="0"/>
                <w:szCs w:val="21"/>
              </w:rPr>
              <w:t>27</w:t>
            </w:r>
            <w:bookmarkEnd w:id="764"/>
            <w:bookmarkEnd w:id="765"/>
            <w:bookmarkEnd w:id="766"/>
          </w:p>
        </w:tc>
        <w:tc>
          <w:tcPr>
            <w:tcW w:w="857" w:type="dxa"/>
            <w:vAlign w:val="center"/>
          </w:tcPr>
          <w:p>
            <w:pPr>
              <w:widowControl/>
              <w:jc w:val="both"/>
              <w:outlineLvl w:val="0"/>
              <w:rPr>
                <w:rFonts w:ascii="宋体" w:cs="宋体"/>
                <w:kern w:val="0"/>
                <w:szCs w:val="21"/>
              </w:rPr>
            </w:pPr>
            <w:bookmarkStart w:id="767" w:name="_Toc616"/>
            <w:bookmarkStart w:id="768" w:name="_Toc9196"/>
            <w:bookmarkStart w:id="769" w:name="_Toc12542"/>
            <w:r>
              <w:rPr>
                <w:rFonts w:hint="eastAsia" w:ascii="宋体" w:hAnsi="宋体"/>
                <w:szCs w:val="21"/>
              </w:rPr>
              <w:t>市政工程计量与计价</w:t>
            </w:r>
            <w:bookmarkEnd w:id="767"/>
            <w:bookmarkEnd w:id="768"/>
            <w:bookmarkEnd w:id="769"/>
          </w:p>
        </w:tc>
        <w:tc>
          <w:tcPr>
            <w:tcW w:w="680" w:type="dxa"/>
            <w:vAlign w:val="center"/>
          </w:tcPr>
          <w:p>
            <w:pPr>
              <w:widowControl/>
              <w:jc w:val="both"/>
              <w:outlineLvl w:val="0"/>
              <w:rPr>
                <w:rFonts w:ascii="宋体" w:cs="宋体"/>
                <w:kern w:val="0"/>
                <w:szCs w:val="21"/>
              </w:rPr>
            </w:pPr>
            <w:bookmarkStart w:id="770" w:name="_Toc6194"/>
            <w:bookmarkStart w:id="771" w:name="_Toc23732"/>
            <w:bookmarkStart w:id="772" w:name="_Toc7456"/>
            <w:r>
              <w:rPr>
                <w:rFonts w:hint="eastAsia" w:ascii="宋体" w:hAnsi="宋体" w:cs="宋体"/>
                <w:kern w:val="0"/>
                <w:szCs w:val="21"/>
              </w:rPr>
              <w:t>专业拓展课</w:t>
            </w:r>
            <w:bookmarkEnd w:id="770"/>
            <w:bookmarkEnd w:id="771"/>
            <w:bookmarkEnd w:id="772"/>
          </w:p>
        </w:tc>
        <w:tc>
          <w:tcPr>
            <w:tcW w:w="3235" w:type="dxa"/>
            <w:vAlign w:val="center"/>
          </w:tcPr>
          <w:p>
            <w:pPr>
              <w:jc w:val="both"/>
              <w:rPr>
                <w:rFonts w:ascii="宋体" w:cs="宋体"/>
                <w:kern w:val="0"/>
                <w:szCs w:val="21"/>
              </w:rPr>
            </w:pPr>
            <w:r>
              <w:rPr>
                <w:rFonts w:hint="eastAsia" w:ascii="宋体" w:hAnsi="宋体" w:cs="宋体"/>
                <w:kern w:val="10"/>
                <w:szCs w:val="21"/>
              </w:rPr>
              <w:t>市政工程图纸的识读，通用土方工程、道路工程与排水工程的工程量的计算，定额的应用及换算，软件套价及报表的调整</w:t>
            </w:r>
          </w:p>
        </w:tc>
        <w:tc>
          <w:tcPr>
            <w:tcW w:w="3740" w:type="dxa"/>
            <w:vAlign w:val="center"/>
          </w:tcPr>
          <w:p>
            <w:pPr>
              <w:widowControl/>
              <w:jc w:val="both"/>
              <w:outlineLvl w:val="0"/>
              <w:rPr>
                <w:rFonts w:ascii="宋体" w:cs="宋体"/>
                <w:kern w:val="0"/>
                <w:szCs w:val="21"/>
              </w:rPr>
            </w:pPr>
            <w:bookmarkStart w:id="773" w:name="_Toc26855"/>
            <w:bookmarkStart w:id="774" w:name="_Toc19265"/>
            <w:bookmarkStart w:id="775" w:name="_Toc30009"/>
            <w:r>
              <w:rPr>
                <w:rFonts w:hint="eastAsia" w:ascii="宋体" w:hAnsi="宋体" w:cs="宋体"/>
                <w:kern w:val="10"/>
                <w:szCs w:val="21"/>
              </w:rPr>
              <w:t>培养造价从业人员的基本素养，掌握基本理论知识、能运用所学的知识和技能，开展市政道路工程、给水工程、排水工程工程计量与计价等相关工作。</w:t>
            </w:r>
            <w:bookmarkEnd w:id="773"/>
            <w:bookmarkEnd w:id="774"/>
            <w:bookmarkEnd w:id="7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widowControl/>
              <w:jc w:val="both"/>
              <w:outlineLvl w:val="0"/>
              <w:rPr>
                <w:rFonts w:ascii="宋体" w:hAnsi="宋体" w:cs="宋体"/>
                <w:kern w:val="0"/>
                <w:szCs w:val="21"/>
              </w:rPr>
            </w:pPr>
            <w:bookmarkStart w:id="776" w:name="_Toc10237"/>
            <w:bookmarkStart w:id="777" w:name="_Toc12315"/>
            <w:bookmarkStart w:id="778" w:name="_Toc2599"/>
            <w:r>
              <w:rPr>
                <w:rFonts w:hint="eastAsia" w:ascii="宋体" w:hAnsi="宋体" w:cs="宋体"/>
                <w:kern w:val="0"/>
                <w:szCs w:val="21"/>
              </w:rPr>
              <w:t>28</w:t>
            </w:r>
            <w:bookmarkEnd w:id="776"/>
            <w:bookmarkEnd w:id="777"/>
            <w:bookmarkEnd w:id="778"/>
          </w:p>
        </w:tc>
        <w:tc>
          <w:tcPr>
            <w:tcW w:w="857" w:type="dxa"/>
            <w:vAlign w:val="center"/>
          </w:tcPr>
          <w:p>
            <w:pPr>
              <w:widowControl/>
              <w:jc w:val="both"/>
              <w:outlineLvl w:val="0"/>
              <w:rPr>
                <w:rFonts w:hint="eastAsia" w:ascii="宋体" w:eastAsia="宋体" w:cs="宋体"/>
                <w:kern w:val="0"/>
                <w:szCs w:val="21"/>
                <w:lang w:eastAsia="zh-CN"/>
              </w:rPr>
            </w:pPr>
            <w:bookmarkStart w:id="779" w:name="_Toc24776"/>
            <w:bookmarkStart w:id="780" w:name="_Toc15995"/>
            <w:bookmarkStart w:id="781" w:name="_Toc23457"/>
            <w:r>
              <w:rPr>
                <w:rFonts w:hint="eastAsia" w:ascii="宋体" w:hAnsi="宋体"/>
                <w:iCs/>
                <w:szCs w:val="21"/>
                <w:lang w:eastAsia="zh-CN"/>
              </w:rPr>
              <w:t>建筑装饰工程计量与计价</w:t>
            </w:r>
            <w:bookmarkEnd w:id="779"/>
            <w:bookmarkEnd w:id="780"/>
            <w:bookmarkEnd w:id="781"/>
          </w:p>
        </w:tc>
        <w:tc>
          <w:tcPr>
            <w:tcW w:w="680" w:type="dxa"/>
            <w:vAlign w:val="center"/>
          </w:tcPr>
          <w:p>
            <w:pPr>
              <w:widowControl/>
              <w:jc w:val="both"/>
              <w:outlineLvl w:val="0"/>
              <w:rPr>
                <w:rFonts w:ascii="宋体" w:cs="宋体"/>
                <w:kern w:val="0"/>
                <w:szCs w:val="21"/>
              </w:rPr>
            </w:pPr>
            <w:bookmarkStart w:id="782" w:name="_Toc30515"/>
            <w:bookmarkStart w:id="783" w:name="_Toc12610"/>
            <w:bookmarkStart w:id="784" w:name="_Toc16020"/>
            <w:r>
              <w:rPr>
                <w:rFonts w:hint="eastAsia" w:ascii="宋体" w:hAnsi="宋体" w:cs="宋体"/>
                <w:kern w:val="0"/>
                <w:szCs w:val="21"/>
              </w:rPr>
              <w:t>专业拓展课</w:t>
            </w:r>
            <w:bookmarkEnd w:id="782"/>
            <w:bookmarkEnd w:id="783"/>
            <w:bookmarkEnd w:id="784"/>
          </w:p>
        </w:tc>
        <w:tc>
          <w:tcPr>
            <w:tcW w:w="3235" w:type="dxa"/>
            <w:vAlign w:val="center"/>
          </w:tcPr>
          <w:p>
            <w:pPr>
              <w:widowControl/>
              <w:jc w:val="both"/>
              <w:outlineLvl w:val="0"/>
              <w:rPr>
                <w:rFonts w:ascii="宋体" w:cs="宋体"/>
                <w:kern w:val="0"/>
                <w:szCs w:val="21"/>
              </w:rPr>
            </w:pPr>
            <w:bookmarkStart w:id="785" w:name="_Toc18620"/>
            <w:bookmarkStart w:id="786" w:name="_Toc16680"/>
            <w:bookmarkStart w:id="787" w:name="_Toc14083"/>
            <w:r>
              <w:rPr>
                <w:rFonts w:hint="eastAsia" w:ascii="宋体" w:hAnsi="宋体"/>
                <w:szCs w:val="21"/>
              </w:rPr>
              <w:t>精装修工程基础知识、精装修地面部分计量与计价、精装修墙面部分计量与计价、精装修天棚部分计量与计价、精装修电气与给排水部分计量与计价等。</w:t>
            </w:r>
            <w:r>
              <w:rPr>
                <w:rFonts w:ascii="宋体"/>
                <w:szCs w:val="21"/>
              </w:rPr>
              <w:tab/>
            </w:r>
            <w:r>
              <w:rPr>
                <w:rFonts w:hint="eastAsia" w:ascii="宋体" w:hAnsi="宋体"/>
                <w:szCs w:val="21"/>
              </w:rPr>
              <w:t>能够结合实际工程开展</w:t>
            </w:r>
            <w:r>
              <w:rPr>
                <w:rFonts w:hint="eastAsia" w:ascii="宋体" w:hAnsi="宋体"/>
                <w:szCs w:val="21"/>
                <w:lang w:eastAsia="zh-CN"/>
              </w:rPr>
              <w:t>建筑装饰工程计量与计价</w:t>
            </w:r>
            <w:r>
              <w:rPr>
                <w:rFonts w:hint="eastAsia" w:ascii="宋体" w:hAnsi="宋体"/>
                <w:szCs w:val="21"/>
              </w:rPr>
              <w:t>，掌握能够利用清单模式，对精装修工程装饰、水电等两部分进行清单编制与组价，能够利用软件进行编制报价文件。</w:t>
            </w:r>
            <w:bookmarkEnd w:id="785"/>
            <w:bookmarkEnd w:id="786"/>
            <w:bookmarkEnd w:id="787"/>
          </w:p>
        </w:tc>
        <w:tc>
          <w:tcPr>
            <w:tcW w:w="3740" w:type="dxa"/>
            <w:vAlign w:val="center"/>
          </w:tcPr>
          <w:p>
            <w:pPr>
              <w:widowControl/>
              <w:jc w:val="both"/>
              <w:outlineLvl w:val="0"/>
              <w:rPr>
                <w:rFonts w:ascii="宋体" w:cs="宋体"/>
                <w:kern w:val="0"/>
                <w:szCs w:val="21"/>
              </w:rPr>
            </w:pPr>
            <w:bookmarkStart w:id="788" w:name="_Toc20526"/>
            <w:bookmarkStart w:id="789" w:name="_Toc21243"/>
            <w:bookmarkStart w:id="790" w:name="_Toc13201"/>
            <w:r>
              <w:rPr>
                <w:rFonts w:hint="eastAsia" w:ascii="宋体" w:hAnsi="宋体"/>
                <w:szCs w:val="21"/>
              </w:rPr>
              <w:t>能够结合实际工程开展</w:t>
            </w:r>
            <w:r>
              <w:rPr>
                <w:rFonts w:hint="eastAsia" w:ascii="宋体" w:hAnsi="宋体"/>
                <w:szCs w:val="21"/>
                <w:lang w:eastAsia="zh-CN"/>
              </w:rPr>
              <w:t>建筑装饰工程计量与计价</w:t>
            </w:r>
            <w:r>
              <w:rPr>
                <w:rFonts w:hint="eastAsia" w:ascii="宋体" w:hAnsi="宋体"/>
                <w:szCs w:val="21"/>
              </w:rPr>
              <w:t>，掌握能够利用清单模式，对精装修工程装饰、水电等两部分进行清单编制与组价，能够利用软件进行编制报价文件。</w:t>
            </w:r>
            <w:bookmarkEnd w:id="788"/>
            <w:bookmarkEnd w:id="789"/>
            <w:bookmarkEnd w:id="790"/>
          </w:p>
        </w:tc>
      </w:tr>
    </w:tbl>
    <w:p>
      <w:pPr>
        <w:pStyle w:val="4"/>
        <w:ind w:firstLine="480"/>
      </w:pPr>
      <w:r>
        <w:rPr>
          <w:rFonts w:hint="eastAsia"/>
        </w:rPr>
        <w:t>备注：</w:t>
      </w:r>
      <w:r>
        <w:rPr>
          <w:rFonts w:ascii="宋体" w:hAnsi="宋体"/>
          <w:szCs w:val="21"/>
        </w:rPr>
        <w:t>*</w:t>
      </w:r>
      <w:r>
        <w:rPr>
          <w:rFonts w:hint="eastAsia" w:ascii="宋体" w:hAnsi="宋体"/>
          <w:szCs w:val="21"/>
        </w:rPr>
        <w:t>为专业核心课</w:t>
      </w:r>
    </w:p>
    <w:p>
      <w:pPr>
        <w:pStyle w:val="3"/>
        <w:bidi w:val="0"/>
        <w:ind w:firstLine="880"/>
        <w:rPr>
          <w:rFonts w:hint="eastAsia" w:ascii="Arial" w:hAnsi="Arial" w:eastAsia="宋体" w:cs="Times New Roman"/>
          <w:lang w:val="en-US" w:eastAsia="zh-CN"/>
        </w:rPr>
      </w:pPr>
      <w:bookmarkStart w:id="791" w:name="_Toc18756"/>
      <w:bookmarkStart w:id="792" w:name="_Toc16199"/>
      <w:r>
        <w:rPr>
          <w:rFonts w:hint="eastAsia" w:ascii="Arial" w:hAnsi="Arial" w:eastAsia="宋体" w:cs="Times New Roman"/>
          <w:lang w:val="en-US" w:eastAsia="zh-CN"/>
        </w:rPr>
        <w:t>（三）实践性教学环节</w:t>
      </w:r>
      <w:bookmarkEnd w:id="791"/>
      <w:bookmarkEnd w:id="792"/>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实践性教学是课程教学的主要部分，各课程根据课程内容与知识水平目标，合理编制课程标准，设计实践环节，以达到懂知识能操作高素质的技术技能型人才总目标。</w:t>
      </w:r>
    </w:p>
    <w:p>
      <w:pPr>
        <w:pStyle w:val="3"/>
        <w:bidi w:val="0"/>
        <w:ind w:firstLine="880"/>
        <w:rPr>
          <w:rFonts w:hint="eastAsia" w:ascii="Arial" w:hAnsi="Arial" w:eastAsia="宋体" w:cs="Times New Roman"/>
          <w:lang w:val="en-US" w:eastAsia="zh-CN"/>
        </w:rPr>
      </w:pPr>
      <w:bookmarkStart w:id="793" w:name="_Toc23120"/>
      <w:bookmarkStart w:id="794" w:name="_Toc16475"/>
      <w:r>
        <w:rPr>
          <w:rFonts w:hint="eastAsia" w:ascii="Arial" w:hAnsi="Arial" w:eastAsia="宋体" w:cs="Times New Roman"/>
          <w:lang w:val="en-US" w:eastAsia="zh-CN"/>
        </w:rPr>
        <w:t>（四）课程思政要求</w:t>
      </w:r>
      <w:bookmarkEnd w:id="793"/>
      <w:bookmarkEnd w:id="794"/>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课程思政以“通识课引领，专业课渗透，实践课体验”的联动体系为主要课程思政体系。其中，通识和公共基础课程侧重人文素养、道德品质和知识结构、思维方式培养;专业教育课程立足学科特色和优势，结合不同课程特点、思维方法和价值理念，把课程思政元素与课程教学有机融合;实践类课程注重学生的学思结合、知行统一，在探索实践中提升发现问题、解决问题的能力。同时，学校充分利用新媒体平台，注重爱国主义、社会责任感、劳动精神、创新创业精神培养，将理论与实践相结合，深入开展多种形式的社会实践、志愿服务、实习实训活动，不断拓展课程思政建设方法和途径。</w:t>
      </w:r>
    </w:p>
    <w:p>
      <w:pPr>
        <w:pStyle w:val="2"/>
        <w:bidi w:val="0"/>
        <w:rPr>
          <w:rFonts w:hint="eastAsia" w:ascii="Times New Roman" w:hAnsi="Times New Roman" w:cs="Times New Roman"/>
          <w:b w:val="0"/>
          <w:lang w:val="en-US" w:eastAsia="zh-CN"/>
        </w:rPr>
      </w:pPr>
      <w:bookmarkStart w:id="795" w:name="_Toc22115"/>
      <w:bookmarkStart w:id="796" w:name="_Toc1842"/>
      <w:bookmarkStart w:id="797" w:name="_Toc14970"/>
      <w:r>
        <w:rPr>
          <w:rFonts w:hint="eastAsia" w:ascii="Times New Roman" w:hAnsi="Times New Roman" w:cs="Times New Roman"/>
          <w:b w:val="0"/>
          <w:lang w:val="en-US" w:eastAsia="zh-CN"/>
        </w:rPr>
        <w:t>七、教学进程总体安排</w:t>
      </w:r>
      <w:bookmarkEnd w:id="795"/>
      <w:bookmarkEnd w:id="796"/>
      <w:bookmarkEnd w:id="797"/>
    </w:p>
    <w:p>
      <w:pPr>
        <w:pStyle w:val="3"/>
        <w:bidi w:val="0"/>
        <w:ind w:firstLine="880"/>
        <w:rPr>
          <w:rFonts w:hint="eastAsia" w:ascii="Arial" w:hAnsi="Arial" w:eastAsia="宋体" w:cs="Times New Roman"/>
          <w:lang w:val="en-US" w:eastAsia="zh-CN"/>
        </w:rPr>
      </w:pPr>
      <w:bookmarkStart w:id="798" w:name="_Toc31763"/>
      <w:bookmarkStart w:id="799" w:name="_Toc9450"/>
      <w:bookmarkStart w:id="800" w:name="_Toc8699"/>
      <w:r>
        <w:rPr>
          <w:rFonts w:hint="eastAsia" w:ascii="Arial" w:hAnsi="Arial" w:eastAsia="宋体" w:cs="Times New Roman"/>
          <w:lang w:val="en-US" w:eastAsia="zh-CN"/>
        </w:rPr>
        <w:t>（一）教学时间分配表</w:t>
      </w:r>
      <w:bookmarkEnd w:id="798"/>
      <w:bookmarkEnd w:id="799"/>
      <w:bookmarkEnd w:id="800"/>
    </w:p>
    <w:p>
      <w:pPr>
        <w:pStyle w:val="9"/>
        <w:adjustRightInd w:val="0"/>
        <w:snapToGrid w:val="0"/>
        <w:spacing w:before="0" w:beforeAutospacing="0" w:after="0" w:afterAutospacing="0" w:line="500" w:lineRule="exact"/>
        <w:ind w:firstLine="240" w:firstLineChars="100"/>
        <w:jc w:val="center"/>
        <w:rPr>
          <w:kern w:val="2"/>
        </w:rPr>
      </w:pPr>
      <w:r>
        <w:rPr>
          <w:rFonts w:hint="eastAsia"/>
          <w:kern w:val="2"/>
        </w:rPr>
        <w:t>表</w:t>
      </w:r>
      <w:r>
        <w:rPr>
          <w:rFonts w:hint="eastAsia"/>
          <w:kern w:val="2"/>
          <w:lang w:val="en-US" w:eastAsia="zh-CN"/>
        </w:rPr>
        <w:t xml:space="preserve">5 </w:t>
      </w:r>
      <w:r>
        <w:rPr>
          <w:rFonts w:hint="eastAsia"/>
          <w:kern w:val="2"/>
        </w:rPr>
        <w:t>本专业教学时间分配表</w:t>
      </w:r>
    </w:p>
    <w:tbl>
      <w:tblPr>
        <w:tblStyle w:val="10"/>
        <w:tblW w:w="99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22"/>
        <w:gridCol w:w="539"/>
        <w:gridCol w:w="642"/>
        <w:gridCol w:w="769"/>
        <w:gridCol w:w="769"/>
        <w:gridCol w:w="769"/>
        <w:gridCol w:w="577"/>
        <w:gridCol w:w="577"/>
        <w:gridCol w:w="577"/>
        <w:gridCol w:w="727"/>
        <w:gridCol w:w="674"/>
        <w:gridCol w:w="809"/>
        <w:gridCol w:w="569"/>
        <w:gridCol w:w="707"/>
        <w:gridCol w:w="7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10" w:hRule="atLeast"/>
          <w:jc w:val="center"/>
        </w:trPr>
        <w:tc>
          <w:tcPr>
            <w:tcW w:w="1061" w:type="dxa"/>
            <w:gridSpan w:val="2"/>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ind w:firstLine="630" w:firstLineChars="300"/>
              <w:rPr>
                <w:rFonts w:ascii="宋体"/>
                <w:sz w:val="18"/>
              </w:rPr>
            </w:pPr>
            <w: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-15875</wp:posOffset>
                      </wp:positionV>
                      <wp:extent cx="666750" cy="932815"/>
                      <wp:effectExtent l="4445" t="2540" r="14605" b="9525"/>
                      <wp:wrapNone/>
                      <wp:docPr id="10" name="组合 10"/>
                      <wp:cNvGraphicFramePr/>
                      <a:graphic xmlns:a="http://schemas.openxmlformats.org/drawingml/2006/main">
                        <a:graphicData uri="http://schemas.microsoft.com/office/word/2010/wordprocessingGroup">
                          <wpg:wgp>
                            <wpg:cNvGrpSpPr/>
                            <wpg:grpSpPr>
                              <a:xfrm>
                                <a:off x="0" y="0"/>
                                <a:ext cx="666750" cy="932815"/>
                                <a:chOff x="0" y="0"/>
                                <a:chExt cx="1372" cy="1295"/>
                              </a:xfrm>
                            </wpg:grpSpPr>
                            <wps:wsp>
                              <wps:cNvPr id="11" name="直接连接符 1"/>
                              <wps:cNvCnPr/>
                              <wps:spPr>
                                <a:xfrm>
                                  <a:off x="0" y="0"/>
                                  <a:ext cx="1372" cy="1295"/>
                                </a:xfrm>
                                <a:prstGeom prst="line">
                                  <a:avLst/>
                                </a:prstGeom>
                                <a:ln w="6350" cap="flat" cmpd="sng">
                                  <a:solidFill>
                                    <a:srgbClr val="000000"/>
                                  </a:solidFill>
                                  <a:prstDash val="solid"/>
                                  <a:headEnd type="none" w="med" len="med"/>
                                  <a:tailEnd type="none" w="med" len="med"/>
                                </a:ln>
                              </wps:spPr>
                              <wps:bodyPr/>
                            </wps:wsp>
                            <wps:wsp>
                              <wps:cNvPr id="12" name="直接连接符 2"/>
                              <wps:cNvCnPr/>
                              <wps:spPr>
                                <a:xfrm>
                                  <a:off x="0" y="0"/>
                                  <a:ext cx="686" cy="1295"/>
                                </a:xfrm>
                                <a:prstGeom prst="line">
                                  <a:avLst/>
                                </a:prstGeom>
                                <a:ln w="6350" cap="flat" cmpd="sng">
                                  <a:solidFill>
                                    <a:srgbClr val="000000"/>
                                  </a:solidFill>
                                  <a:prstDash val="solid"/>
                                  <a:headEnd type="none" w="med" len="med"/>
                                  <a:tailEnd type="none" w="med" len="med"/>
                                </a:ln>
                              </wps:spPr>
                              <wps:bodyPr/>
                            </wps:wsp>
                            <wps:wsp>
                              <wps:cNvPr id="13" name="文本框 3"/>
                              <wps:cNvSpPr txBox="1"/>
                              <wps:spPr>
                                <a:xfrm>
                                  <a:off x="413" y="101"/>
                                  <a:ext cx="197" cy="188"/>
                                </a:xfrm>
                                <a:prstGeom prst="rect">
                                  <a:avLst/>
                                </a:prstGeom>
                                <a:noFill/>
                                <a:ln>
                                  <a:noFill/>
                                </a:ln>
                              </wps:spPr>
                              <wps:txbx>
                                <w:txbxContent>
                                  <w:p>
                                    <w:pPr>
                                      <w:snapToGrid w:val="0"/>
                                      <w:rPr>
                                        <w:sz w:val="18"/>
                                      </w:rPr>
                                    </w:pPr>
                                    <w:r>
                                      <w:rPr>
                                        <w:rFonts w:hint="eastAsia"/>
                                        <w:sz w:val="18"/>
                                      </w:rPr>
                                      <w:t>内</w:t>
                                    </w:r>
                                  </w:p>
                                </w:txbxContent>
                              </wps:txbx>
                              <wps:bodyPr lIns="0" tIns="0" rIns="0" bIns="0" upright="1"/>
                            </wps:wsp>
                            <wps:wsp>
                              <wps:cNvPr id="14" name="文本框 4"/>
                              <wps:cNvSpPr txBox="1"/>
                              <wps:spPr>
                                <a:xfrm>
                                  <a:off x="921" y="341"/>
                                  <a:ext cx="197" cy="187"/>
                                </a:xfrm>
                                <a:prstGeom prst="rect">
                                  <a:avLst/>
                                </a:prstGeom>
                                <a:noFill/>
                                <a:ln>
                                  <a:noFill/>
                                </a:ln>
                              </wps:spPr>
                              <wps:txbx>
                                <w:txbxContent>
                                  <w:p>
                                    <w:pPr>
                                      <w:snapToGrid w:val="0"/>
                                      <w:rPr>
                                        <w:sz w:val="18"/>
                                      </w:rPr>
                                    </w:pPr>
                                    <w:r>
                                      <w:rPr>
                                        <w:rFonts w:hint="eastAsia"/>
                                        <w:sz w:val="18"/>
                                      </w:rPr>
                                      <w:t>容</w:t>
                                    </w:r>
                                  </w:p>
                                </w:txbxContent>
                              </wps:txbx>
                              <wps:bodyPr lIns="0" tIns="0" rIns="0" bIns="0" upright="1"/>
                            </wps:wsp>
                            <wps:wsp>
                              <wps:cNvPr id="15" name="文本框 5"/>
                              <wps:cNvSpPr txBox="1"/>
                              <wps:spPr>
                                <a:xfrm>
                                  <a:off x="561" y="706"/>
                                  <a:ext cx="187" cy="188"/>
                                </a:xfrm>
                                <a:prstGeom prst="rect">
                                  <a:avLst/>
                                </a:prstGeom>
                                <a:noFill/>
                                <a:ln>
                                  <a:noFill/>
                                </a:ln>
                              </wps:spPr>
                              <wps:txbx>
                                <w:txbxContent>
                                  <w:p>
                                    <w:pPr>
                                      <w:snapToGrid w:val="0"/>
                                      <w:rPr>
                                        <w:sz w:val="18"/>
                                      </w:rPr>
                                    </w:pPr>
                                    <w:r>
                                      <w:rPr>
                                        <w:rFonts w:hint="eastAsia"/>
                                        <w:sz w:val="18"/>
                                      </w:rPr>
                                      <w:t>学</w:t>
                                    </w:r>
                                  </w:p>
                                </w:txbxContent>
                              </wps:txbx>
                              <wps:bodyPr lIns="0" tIns="0" rIns="0" bIns="0" upright="1"/>
                            </wps:wsp>
                            <wps:wsp>
                              <wps:cNvPr id="16" name="文本框 6"/>
                              <wps:cNvSpPr txBox="1"/>
                              <wps:spPr>
                                <a:xfrm>
                                  <a:off x="778" y="986"/>
                                  <a:ext cx="198" cy="188"/>
                                </a:xfrm>
                                <a:prstGeom prst="rect">
                                  <a:avLst/>
                                </a:prstGeom>
                                <a:noFill/>
                                <a:ln>
                                  <a:noFill/>
                                </a:ln>
                              </wps:spPr>
                              <wps:txbx>
                                <w:txbxContent>
                                  <w:p>
                                    <w:pPr>
                                      <w:snapToGrid w:val="0"/>
                                      <w:rPr>
                                        <w:sz w:val="18"/>
                                      </w:rPr>
                                    </w:pPr>
                                    <w:r>
                                      <w:rPr>
                                        <w:rFonts w:hint="eastAsia"/>
                                        <w:sz w:val="18"/>
                                      </w:rPr>
                                      <w:t>期</w:t>
                                    </w:r>
                                  </w:p>
                                </w:txbxContent>
                              </wps:txbx>
                              <wps:bodyPr lIns="0" tIns="0" rIns="0" bIns="0" upright="1"/>
                            </wps:wsp>
                            <wps:wsp>
                              <wps:cNvPr id="17" name="文本框 7"/>
                              <wps:cNvSpPr txBox="1"/>
                              <wps:spPr>
                                <a:xfrm>
                                  <a:off x="132" y="706"/>
                                  <a:ext cx="197" cy="188"/>
                                </a:xfrm>
                                <a:prstGeom prst="rect">
                                  <a:avLst/>
                                </a:prstGeom>
                                <a:noFill/>
                                <a:ln>
                                  <a:noFill/>
                                </a:ln>
                              </wps:spPr>
                              <wps:txbx>
                                <w:txbxContent>
                                  <w:p>
                                    <w:pPr>
                                      <w:snapToGrid w:val="0"/>
                                      <w:rPr>
                                        <w:sz w:val="18"/>
                                      </w:rPr>
                                    </w:pPr>
                                    <w:r>
                                      <w:rPr>
                                        <w:rFonts w:hint="eastAsia"/>
                                        <w:sz w:val="18"/>
                                      </w:rPr>
                                      <w:t>学</w:t>
                                    </w:r>
                                  </w:p>
                                </w:txbxContent>
                              </wps:txbx>
                              <wps:bodyPr lIns="0" tIns="0" rIns="0" bIns="0" upright="1"/>
                            </wps:wsp>
                            <wps:wsp>
                              <wps:cNvPr id="18" name="文本框 8"/>
                              <wps:cNvSpPr txBox="1"/>
                              <wps:spPr>
                                <a:xfrm>
                                  <a:off x="206" y="986"/>
                                  <a:ext cx="198" cy="188"/>
                                </a:xfrm>
                                <a:prstGeom prst="rect">
                                  <a:avLst/>
                                </a:prstGeom>
                                <a:noFill/>
                                <a:ln>
                                  <a:noFill/>
                                </a:ln>
                              </wps:spPr>
                              <wps:txbx>
                                <w:txbxContent>
                                  <w:p>
                                    <w:pPr>
                                      <w:snapToGrid w:val="0"/>
                                      <w:rPr>
                                        <w:sz w:val="18"/>
                                      </w:rPr>
                                    </w:pPr>
                                    <w:r>
                                      <w:rPr>
                                        <w:rFonts w:hint="eastAsia"/>
                                        <w:sz w:val="18"/>
                                      </w:rPr>
                                      <w:t>年</w:t>
                                    </w:r>
                                  </w:p>
                                </w:txbxContent>
                              </wps:txbx>
                              <wps:bodyPr lIns="0" tIns="0" rIns="0" bIns="0" upright="1"/>
                            </wps:wsp>
                          </wpg:wgp>
                        </a:graphicData>
                      </a:graphic>
                    </wp:anchor>
                  </w:drawing>
                </mc:Choice>
                <mc:Fallback>
                  <w:pict>
                    <v:group id="_x0000_s1026" o:spid="_x0000_s1026" o:spt="203" style="position:absolute;left:0pt;margin-left:0pt;margin-top:-1.25pt;height:73.45pt;width:52.5pt;z-index:251660288;mso-width-relative:page;mso-height-relative:page;" coordsize="1372,1295" o:gfxdata="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An1SeI1wAAAAcBAAAP&#10;AAAAAAAAAAEAIAAAACIAAABkcnMvZG93bnJldi54bWxQSwECFAAUAAAACACHTuJA15vPs28DAABq&#10;EAAADgAAAAAAAAABACAAAAAmAQAAZHJzL2Uyb0RvYy54bWxQSwUGAAAAAAYABgBZAQAABwcAAAAA&#10;">
                      <o:lock v:ext="edit" aspectratio="f"/>
                      <v:line id="直接连接符 1" o:spid="_x0000_s1026" o:spt="20" style="position:absolute;left:0;top:0;height:1295;width:1372;"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直接连接符 2" o:spid="_x0000_s1026" o:spt="20" style="position:absolute;left:0;top:0;height:1295;width:686;"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文本框 3" o:spid="_x0000_s1026" o:spt="202" type="#_x0000_t202" style="position:absolute;left:413;top:101;height:188;width:197;"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内</w:t>
                              </w:r>
                            </w:p>
                          </w:txbxContent>
                        </v:textbox>
                      </v:shape>
                      <v:shape id="文本框 4" o:spid="_x0000_s1026" o:spt="202" type="#_x0000_t202" style="position:absolute;left:921;top:341;height:187;width:197;"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容</w:t>
                              </w:r>
                            </w:p>
                          </w:txbxContent>
                        </v:textbox>
                      </v:shape>
                      <v:shape id="文本框 5" o:spid="_x0000_s1026" o:spt="202" type="#_x0000_t202" style="position:absolute;left:561;top:706;height:188;width:187;"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学</w:t>
                              </w:r>
                            </w:p>
                          </w:txbxContent>
                        </v:textbox>
                      </v:shape>
                      <v:shape id="文本框 6" o:spid="_x0000_s1026" o:spt="202" type="#_x0000_t202" style="position:absolute;left:778;top:986;height:188;width:198;"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期</w:t>
                              </w:r>
                            </w:p>
                          </w:txbxContent>
                        </v:textbox>
                      </v:shape>
                      <v:shape id="文本框 7" o:spid="_x0000_s1026" o:spt="202" type="#_x0000_t202" style="position:absolute;left:132;top:706;height:188;width:197;"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18"/>
                                </w:rPr>
                              </w:pPr>
                              <w:r>
                                <w:rPr>
                                  <w:rFonts w:hint="eastAsia"/>
                                  <w:sz w:val="18"/>
                                </w:rPr>
                                <w:t>学</w:t>
                              </w:r>
                            </w:p>
                          </w:txbxContent>
                        </v:textbox>
                      </v:shape>
                      <v:shape id="文本框 8" o:spid="_x0000_s1026" o:spt="202" type="#_x0000_t202" style="position:absolute;left:206;top:986;height:188;width:198;"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18"/>
                                </w:rPr>
                              </w:pPr>
                              <w:r>
                                <w:rPr>
                                  <w:rFonts w:hint="eastAsia"/>
                                  <w:sz w:val="18"/>
                                </w:rPr>
                                <w:t>年</w:t>
                              </w:r>
                            </w:p>
                          </w:txbxContent>
                        </v:textbox>
                      </v:shape>
                    </v:group>
                  </w:pict>
                </mc:Fallback>
              </mc:AlternateConten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hAnsi="宋体"/>
              </w:rPr>
              <w:t>课堂</w:t>
            </w:r>
          </w:p>
          <w:p>
            <w:pPr>
              <w:spacing w:line="240" w:lineRule="atLeast"/>
              <w:jc w:val="center"/>
              <w:rPr>
                <w:rFonts w:ascii="宋体"/>
                <w:sz w:val="24"/>
              </w:rPr>
            </w:pPr>
            <w:r>
              <w:rPr>
                <w:rFonts w:hint="eastAsia" w:ascii="宋体" w:hAnsi="宋体"/>
              </w:rPr>
              <w:t>教学</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实训</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18"/>
                <w:szCs w:val="18"/>
              </w:rPr>
            </w:pPr>
          </w:p>
          <w:p>
            <w:pPr>
              <w:spacing w:line="240" w:lineRule="atLeast"/>
              <w:rPr>
                <w:rFonts w:ascii="宋体"/>
              </w:rPr>
            </w:pPr>
            <w:r>
              <w:rPr>
                <w:rFonts w:hint="eastAsia" w:ascii="宋体" w:hAnsi="宋体"/>
                <w:sz w:val="18"/>
                <w:szCs w:val="18"/>
              </w:rPr>
              <w:t>停课式集中排课</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hAnsi="宋体"/>
              </w:rPr>
              <w:t>课程</w:t>
            </w:r>
          </w:p>
          <w:p>
            <w:pPr>
              <w:spacing w:line="240" w:lineRule="atLeast"/>
              <w:jc w:val="center"/>
              <w:rPr>
                <w:rFonts w:ascii="宋体"/>
                <w:sz w:val="24"/>
              </w:rPr>
            </w:pPr>
            <w:r>
              <w:rPr>
                <w:rFonts w:hint="eastAsia" w:ascii="宋体" w:hAnsi="宋体"/>
              </w:rPr>
              <w:t>设计</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Cs/>
              </w:rPr>
            </w:pPr>
            <w:r>
              <w:rPr>
                <w:rFonts w:hint="eastAsia" w:ascii="宋体" w:hAnsi="宋体"/>
              </w:rPr>
              <w:t>假期社会实践</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Cs/>
              </w:rPr>
            </w:pPr>
            <w:r>
              <w:rPr>
                <w:rFonts w:hint="eastAsia" w:ascii="宋体" w:hAnsi="宋体"/>
                <w:iCs/>
              </w:rPr>
              <w:t>工学交替</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Cs/>
              </w:rPr>
            </w:pPr>
            <w:r>
              <w:rPr>
                <w:rFonts w:hint="eastAsia" w:ascii="宋体" w:hAnsi="宋体"/>
                <w:iCs/>
              </w:rPr>
              <w:t>顶岗实习</w:t>
            </w: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Cs/>
              </w:rPr>
            </w:pPr>
            <w:r>
              <w:rPr>
                <w:rFonts w:hint="eastAsia" w:ascii="宋体" w:hAnsi="宋体"/>
                <w:iCs/>
              </w:rPr>
              <w:t>毕业设计</w:t>
            </w: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r>
              <w:rPr>
                <w:rFonts w:hint="eastAsia" w:ascii="宋体" w:hAnsi="宋体"/>
                <w:iCs/>
              </w:rPr>
              <w:t>毕业答辩</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hAnsi="宋体"/>
              </w:rPr>
              <w:t>新生专业思想教育、军训</w:t>
            </w: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hAnsi="宋体"/>
              </w:rPr>
              <w:t>考试</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运动会及法定假日</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rPr>
            </w:pPr>
            <w:r>
              <w:rPr>
                <w:rFonts w:hint="eastAsia" w:ascii="宋体" w:hAnsi="宋体"/>
              </w:rPr>
              <w:t>总计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52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一</w:t>
            </w:r>
          </w:p>
        </w:tc>
        <w:tc>
          <w:tcPr>
            <w:tcW w:w="5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一</w: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12</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color w:val="000000"/>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color w:val="000000"/>
              </w:rPr>
            </w:pPr>
            <w:r>
              <w:rPr>
                <w:rFonts w:hint="eastAsia" w:ascii="宋体"/>
                <w:iCs/>
                <w:color w:val="000000"/>
              </w:rPr>
              <w:t>1</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2</w:t>
            </w: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hAnsi="宋体"/>
              </w:rPr>
            </w:pPr>
            <w:r>
              <w:rPr>
                <w:rFonts w:ascii="宋体" w:hAnsi="宋体"/>
              </w:rPr>
              <w:t>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522" w:type="dxa"/>
            <w:vMerge w:val="continue"/>
            <w:tcBorders>
              <w:top w:val="single" w:color="auto" w:sz="4" w:space="0"/>
              <w:bottom w:val="single" w:color="auto" w:sz="4" w:space="0"/>
              <w:right w:val="single" w:color="auto" w:sz="4" w:space="0"/>
            </w:tcBorders>
            <w:vAlign w:val="center"/>
          </w:tcPr>
          <w:p>
            <w:pPr>
              <w:widowControl/>
              <w:spacing w:line="240" w:lineRule="atLeast"/>
              <w:jc w:val="center"/>
              <w:rPr>
                <w:rFonts w:ascii="宋体"/>
                <w:sz w:val="24"/>
              </w:rPr>
            </w:pPr>
          </w:p>
        </w:tc>
        <w:tc>
          <w:tcPr>
            <w:tcW w:w="5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二</w: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14</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2</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color w:val="000000"/>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color w:val="000000"/>
              </w:rPr>
            </w:pPr>
            <w:r>
              <w:rPr>
                <w:rFonts w:hint="eastAsia" w:ascii="宋体"/>
                <w:iCs/>
                <w:color w:val="000000"/>
              </w:rPr>
              <w:t>2</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hAnsi="宋体"/>
              </w:rPr>
            </w:pPr>
            <w:r>
              <w:rPr>
                <w:rFonts w:ascii="宋体" w:hAnsi="宋体"/>
              </w:rPr>
              <w:t>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52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二</w:t>
            </w:r>
          </w:p>
        </w:tc>
        <w:tc>
          <w:tcPr>
            <w:tcW w:w="5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三</w: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r>
              <w:rPr>
                <w:rFonts w:hint="eastAsia" w:ascii="宋体" w:hAnsi="宋体"/>
              </w:rPr>
              <w:t>6</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hint="eastAsia" w:ascii="宋体" w:hAnsi="宋体"/>
              </w:rPr>
              <w:t>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hAnsi="宋体"/>
              </w:rPr>
            </w:pPr>
            <w:r>
              <w:rPr>
                <w:rFonts w:ascii="宋体" w:hAnsi="宋体"/>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522" w:type="dxa"/>
            <w:vMerge w:val="continue"/>
            <w:tcBorders>
              <w:top w:val="single" w:color="auto" w:sz="4" w:space="0"/>
              <w:bottom w:val="single" w:color="auto" w:sz="4" w:space="0"/>
              <w:right w:val="single" w:color="auto" w:sz="4" w:space="0"/>
            </w:tcBorders>
            <w:vAlign w:val="center"/>
          </w:tcPr>
          <w:p>
            <w:pPr>
              <w:widowControl/>
              <w:spacing w:line="240" w:lineRule="atLeast"/>
              <w:jc w:val="center"/>
              <w:rPr>
                <w:rFonts w:ascii="宋体"/>
                <w:sz w:val="24"/>
              </w:rPr>
            </w:pPr>
          </w:p>
        </w:tc>
        <w:tc>
          <w:tcPr>
            <w:tcW w:w="5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四</w: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r>
              <w:rPr>
                <w:rFonts w:hint="eastAsia" w:ascii="宋体" w:hAnsi="宋体"/>
              </w:rPr>
              <w:t>5</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hint="eastAsia" w:ascii="宋体" w:hAnsi="宋体"/>
              </w:rPr>
              <w:t>2</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
                <w:u w:val="single"/>
              </w:rPr>
            </w:pP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hAnsi="宋体"/>
              </w:rPr>
            </w:pPr>
            <w:r>
              <w:rPr>
                <w:rFonts w:ascii="宋体" w:hAnsi="宋体"/>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522" w:type="dxa"/>
            <w:vMerge w:val="restart"/>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三</w:t>
            </w:r>
          </w:p>
        </w:tc>
        <w:tc>
          <w:tcPr>
            <w:tcW w:w="5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五</w: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Cs/>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r>
              <w:rPr>
                <w:rFonts w:hint="eastAsia" w:ascii="宋体" w:hAnsi="宋体"/>
                <w:iCs/>
              </w:rPr>
              <w:t>17</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rPr>
              <w:t>2</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hAnsi="宋体"/>
              </w:rPr>
            </w:pPr>
            <w:r>
              <w:rPr>
                <w:rFonts w:ascii="宋体" w:hAnsi="宋体"/>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522" w:type="dxa"/>
            <w:vMerge w:val="continue"/>
            <w:tcBorders>
              <w:top w:val="single" w:color="auto" w:sz="4" w:space="0"/>
              <w:bottom w:val="single" w:color="auto" w:sz="4" w:space="0"/>
              <w:right w:val="single" w:color="auto" w:sz="4" w:space="0"/>
            </w:tcBorders>
            <w:vAlign w:val="center"/>
          </w:tcPr>
          <w:p>
            <w:pPr>
              <w:widowControl/>
              <w:spacing w:line="240" w:lineRule="atLeast"/>
              <w:jc w:val="center"/>
              <w:rPr>
                <w:rFonts w:ascii="宋体"/>
                <w:sz w:val="24"/>
              </w:rPr>
            </w:pPr>
          </w:p>
        </w:tc>
        <w:tc>
          <w:tcPr>
            <w:tcW w:w="5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sz w:val="24"/>
              </w:rPr>
            </w:pPr>
            <w:r>
              <w:rPr>
                <w:rFonts w:hint="eastAsia" w:ascii="宋体" w:hAnsi="宋体"/>
              </w:rPr>
              <w:t>六</w: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Cs/>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iCs/>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r>
              <w:rPr>
                <w:rFonts w:ascii="宋体" w:hAnsi="宋体"/>
                <w:iCs/>
              </w:rPr>
              <w:t>10</w:t>
            </w: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r>
              <w:rPr>
                <w:rFonts w:hint="eastAsia" w:ascii="宋体" w:hAnsi="宋体"/>
                <w:iCs/>
              </w:rPr>
              <w:t>7</w:t>
            </w: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iCs/>
              </w:rPr>
            </w:pPr>
            <w:r>
              <w:rPr>
                <w:rFonts w:hint="eastAsia" w:ascii="宋体" w:hAnsi="宋体"/>
                <w:iCs/>
              </w:rPr>
              <w:t>2</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hAnsi="宋体"/>
              </w:rPr>
            </w:pPr>
            <w:r>
              <w:rPr>
                <w:rFonts w:ascii="宋体" w:hAnsi="宋体"/>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1061" w:type="dxa"/>
            <w:gridSpan w:val="2"/>
            <w:tcBorders>
              <w:top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hAnsi="宋体"/>
              </w:rPr>
              <w:t>总计</w:t>
            </w:r>
          </w:p>
        </w:tc>
        <w:tc>
          <w:tcPr>
            <w:tcW w:w="6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rPr>
              <w:t>57</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rPr>
              <w:t>6</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rPr>
              <w:t>4</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rPr>
            </w:pPr>
            <w:r>
              <w:rPr>
                <w:rFonts w:hint="eastAsia" w:ascii="宋体"/>
              </w:rPr>
              <w:t>3</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hint="eastAsia" w:ascii="宋体" w:hAnsi="宋体"/>
              </w:rPr>
              <w:t>17</w:t>
            </w:r>
          </w:p>
        </w:tc>
        <w:tc>
          <w:tcPr>
            <w:tcW w:w="5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10</w:t>
            </w:r>
          </w:p>
        </w:tc>
        <w:tc>
          <w:tcPr>
            <w:tcW w:w="72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hint="eastAsia" w:ascii="宋体" w:hAnsi="宋体"/>
              </w:rPr>
              <w:t>7</w:t>
            </w:r>
          </w:p>
        </w:tc>
        <w:tc>
          <w:tcPr>
            <w:tcW w:w="6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hint="eastAsia" w:ascii="宋体" w:hAnsi="宋体"/>
              </w:rPr>
              <w:t>2</w:t>
            </w:r>
          </w:p>
        </w:tc>
        <w:tc>
          <w:tcPr>
            <w:tcW w:w="8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2</w:t>
            </w:r>
          </w:p>
        </w:tc>
        <w:tc>
          <w:tcPr>
            <w:tcW w:w="5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hint="eastAsia" w:ascii="宋体" w:hAnsi="宋体"/>
              </w:rPr>
              <w:t>6</w:t>
            </w:r>
          </w:p>
        </w:tc>
        <w:tc>
          <w:tcPr>
            <w:tcW w:w="7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240" w:lineRule="atLeast"/>
              <w:jc w:val="center"/>
              <w:rPr>
                <w:rFonts w:ascii="宋体" w:hAnsi="宋体"/>
              </w:rPr>
            </w:pPr>
            <w:r>
              <w:rPr>
                <w:rFonts w:ascii="宋体" w:hAnsi="宋体"/>
              </w:rPr>
              <w:t>6</w:t>
            </w:r>
          </w:p>
        </w:tc>
        <w:tc>
          <w:tcPr>
            <w:tcW w:w="707" w:type="dxa"/>
            <w:tcBorders>
              <w:top w:val="single" w:color="auto" w:sz="4" w:space="0"/>
              <w:left w:val="single" w:color="auto" w:sz="4" w:space="0"/>
              <w:bottom w:val="single" w:color="auto" w:sz="4" w:space="0"/>
            </w:tcBorders>
            <w:vAlign w:val="center"/>
          </w:tcPr>
          <w:p>
            <w:pPr>
              <w:spacing w:line="240" w:lineRule="atLeast"/>
              <w:jc w:val="center"/>
              <w:rPr>
                <w:rFonts w:ascii="宋体" w:hAnsi="宋体"/>
              </w:rPr>
            </w:pPr>
            <w:r>
              <w:rPr>
                <w:rFonts w:ascii="宋体" w:hAnsi="宋体"/>
              </w:rPr>
              <w:t>120</w:t>
            </w:r>
          </w:p>
        </w:tc>
      </w:tr>
    </w:tbl>
    <w:p>
      <w:pPr>
        <w:rPr>
          <w:rFonts w:hint="eastAsia" w:ascii="宋体" w:hAnsi="宋体" w:eastAsia="宋体" w:cs="宋体"/>
          <w:szCs w:val="21"/>
        </w:rPr>
      </w:pPr>
      <w:r>
        <w:rPr>
          <w:rFonts w:hint="eastAsia" w:ascii="宋体" w:hAnsi="宋体" w:eastAsia="宋体" w:cs="宋体"/>
          <w:b/>
          <w:bCs/>
          <w:szCs w:val="21"/>
        </w:rPr>
        <w:t>备注：</w:t>
      </w:r>
      <w:r>
        <w:rPr>
          <w:rFonts w:hint="eastAsia" w:ascii="宋体" w:hAnsi="宋体" w:eastAsia="宋体" w:cs="宋体"/>
          <w:szCs w:val="21"/>
        </w:rPr>
        <w:t>停课式集中排课、实训期间：全</w:t>
      </w:r>
      <w:r>
        <w:rPr>
          <w:rFonts w:hint="eastAsia" w:ascii="宋体" w:hAnsi="宋体" w:eastAsia="宋体" w:cs="宋体"/>
          <w:szCs w:val="21"/>
          <w:lang w:val="en-US" w:eastAsia="zh-CN"/>
        </w:rPr>
        <w:t>校</w:t>
      </w:r>
      <w:r>
        <w:rPr>
          <w:rFonts w:hint="eastAsia" w:ascii="宋体" w:hAnsi="宋体" w:eastAsia="宋体" w:cs="宋体"/>
          <w:szCs w:val="21"/>
        </w:rPr>
        <w:t>性公共基础选修课不停。</w:t>
      </w:r>
    </w:p>
    <w:p>
      <w:pPr>
        <w:tabs>
          <w:tab w:val="left" w:pos="449"/>
        </w:tabs>
        <w:bidi w:val="0"/>
        <w:jc w:val="left"/>
        <w:rPr>
          <w:rFonts w:hint="eastAsia"/>
          <w:lang w:eastAsia="zh-CN"/>
        </w:rPr>
      </w:pPr>
      <w:r>
        <w:rPr>
          <w:rFonts w:hint="eastAsia"/>
          <w:lang w:eastAsia="zh-CN"/>
        </w:rPr>
        <w:tab/>
      </w:r>
    </w:p>
    <w:p>
      <w:pPr>
        <w:pStyle w:val="9"/>
        <w:adjustRightInd w:val="0"/>
        <w:snapToGrid w:val="0"/>
        <w:spacing w:before="0" w:beforeAutospacing="0" w:after="0" w:afterAutospacing="0" w:line="240" w:lineRule="atLeast"/>
        <w:jc w:val="both"/>
        <w:rPr>
          <w:rFonts w:ascii="Times New Roman" w:hAnsi="Times New Roman"/>
          <w:b/>
          <w:kern w:val="2"/>
          <w:sz w:val="28"/>
        </w:rPr>
        <w:sectPr>
          <w:footerReference r:id="rId6" w:type="default"/>
          <w:pgSz w:w="11906" w:h="16838"/>
          <w:pgMar w:top="1440" w:right="1440" w:bottom="1440" w:left="1440" w:header="851" w:footer="992" w:gutter="284"/>
          <w:pgNumType w:fmt="decimal" w:start="1"/>
          <w:cols w:space="720" w:num="1"/>
          <w:docGrid w:linePitch="312" w:charSpace="0"/>
        </w:sectPr>
      </w:pPr>
    </w:p>
    <w:p>
      <w:pPr>
        <w:pStyle w:val="3"/>
        <w:bidi w:val="0"/>
        <w:ind w:firstLine="880"/>
        <w:rPr>
          <w:rFonts w:hint="eastAsia" w:ascii="Arial" w:hAnsi="Arial" w:eastAsia="宋体" w:cs="Times New Roman"/>
          <w:lang w:val="en-US" w:eastAsia="zh-CN"/>
        </w:rPr>
      </w:pPr>
      <w:bookmarkStart w:id="801" w:name="_Toc30789"/>
      <w:bookmarkStart w:id="802" w:name="_Toc20828"/>
      <w:bookmarkStart w:id="803" w:name="_Toc16392"/>
      <w:r>
        <w:rPr>
          <w:rFonts w:hint="eastAsia" w:ascii="Arial" w:hAnsi="Arial" w:eastAsia="宋体" w:cs="Times New Roman"/>
          <w:lang w:val="en-US" w:eastAsia="zh-CN"/>
        </w:rPr>
        <w:t>（二）课程设置与教学进程表</w:t>
      </w:r>
      <w:bookmarkEnd w:id="801"/>
      <w:bookmarkEnd w:id="802"/>
      <w:bookmarkEnd w:id="803"/>
    </w:p>
    <w:p>
      <w:pPr>
        <w:pStyle w:val="9"/>
        <w:adjustRightInd w:val="0"/>
        <w:snapToGrid w:val="0"/>
        <w:spacing w:before="0" w:beforeAutospacing="0" w:after="0" w:afterAutospacing="0" w:line="500" w:lineRule="exact"/>
        <w:ind w:firstLine="723" w:firstLineChars="300"/>
        <w:jc w:val="center"/>
        <w:rPr>
          <w:b/>
          <w:bCs/>
          <w:kern w:val="2"/>
        </w:rPr>
      </w:pPr>
      <w:r>
        <w:rPr>
          <w:b/>
          <w:bCs/>
          <w:kern w:val="2"/>
        </w:rPr>
        <w:t>表</w:t>
      </w:r>
      <w:r>
        <w:rPr>
          <w:rFonts w:hint="eastAsia"/>
          <w:b/>
          <w:bCs/>
          <w:kern w:val="2"/>
          <w:lang w:val="en-US" w:eastAsia="zh-CN"/>
        </w:rPr>
        <w:t>6</w:t>
      </w:r>
      <w:r>
        <w:rPr>
          <w:rFonts w:hint="eastAsia"/>
          <w:b/>
          <w:bCs/>
          <w:kern w:val="2"/>
        </w:rPr>
        <w:t xml:space="preserve"> 本专业课程设置与教学进程表</w:t>
      </w:r>
    </w:p>
    <w:tbl>
      <w:tblPr>
        <w:tblStyle w:val="10"/>
        <w:tblW w:w="14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85"/>
        <w:gridCol w:w="450"/>
        <w:gridCol w:w="870"/>
        <w:gridCol w:w="1237"/>
        <w:gridCol w:w="2732"/>
        <w:gridCol w:w="582"/>
        <w:gridCol w:w="711"/>
        <w:gridCol w:w="701"/>
        <w:gridCol w:w="766"/>
        <w:gridCol w:w="813"/>
        <w:gridCol w:w="747"/>
        <w:gridCol w:w="804"/>
        <w:gridCol w:w="636"/>
        <w:gridCol w:w="564"/>
        <w:gridCol w:w="2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28" w:hRule="atLeast"/>
          <w:jc w:val="center"/>
        </w:trPr>
        <w:tc>
          <w:tcPr>
            <w:tcW w:w="835" w:type="dxa"/>
            <w:gridSpan w:val="2"/>
            <w:vMerge w:val="restart"/>
            <w:tcBorders>
              <w:top w:val="single" w:color="000000" w:sz="4" w:space="0"/>
              <w:left w:val="single" w:color="000000" w:sz="4" w:space="0"/>
              <w:right w:val="single" w:color="000000" w:sz="4"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课程</w:t>
            </w:r>
          </w:p>
          <w:p>
            <w:pPr>
              <w:spacing w:line="0" w:lineRule="atLeast"/>
              <w:jc w:val="center"/>
              <w:rPr>
                <w:rFonts w:ascii="宋体" w:hAnsi="宋体"/>
                <w:b/>
                <w:bCs/>
                <w:szCs w:val="21"/>
              </w:rPr>
            </w:pPr>
            <w:r>
              <w:rPr>
                <w:rFonts w:hint="eastAsia" w:ascii="宋体" w:hAnsi="宋体"/>
                <w:b/>
                <w:bCs/>
                <w:szCs w:val="21"/>
              </w:rPr>
              <w:t>类别</w:t>
            </w: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课程代码</w:t>
            </w:r>
          </w:p>
        </w:tc>
        <w:tc>
          <w:tcPr>
            <w:tcW w:w="2732" w:type="dxa"/>
            <w:vMerge w:val="restart"/>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课程名称</w:t>
            </w:r>
          </w:p>
        </w:tc>
        <w:tc>
          <w:tcPr>
            <w:tcW w:w="582"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学分</w:t>
            </w:r>
          </w:p>
        </w:tc>
        <w:tc>
          <w:tcPr>
            <w:tcW w:w="711"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总</w:t>
            </w:r>
          </w:p>
          <w:p>
            <w:pPr>
              <w:spacing w:line="0" w:lineRule="atLeast"/>
              <w:jc w:val="center"/>
              <w:rPr>
                <w:rFonts w:ascii="宋体" w:hAnsi="宋体"/>
                <w:b/>
                <w:bCs/>
                <w:szCs w:val="21"/>
              </w:rPr>
            </w:pPr>
            <w:r>
              <w:rPr>
                <w:rFonts w:hint="eastAsia" w:ascii="宋体" w:hAnsi="宋体"/>
                <w:b/>
                <w:bCs/>
                <w:szCs w:val="21"/>
              </w:rPr>
              <w:t>学</w:t>
            </w:r>
          </w:p>
          <w:p>
            <w:pPr>
              <w:spacing w:line="0" w:lineRule="atLeast"/>
              <w:jc w:val="center"/>
              <w:rPr>
                <w:rFonts w:ascii="宋体" w:hAnsi="宋体"/>
                <w:b/>
                <w:bCs/>
                <w:szCs w:val="21"/>
              </w:rPr>
            </w:pPr>
            <w:r>
              <w:rPr>
                <w:rFonts w:hint="eastAsia" w:ascii="宋体" w:hAnsi="宋体"/>
                <w:b/>
                <w:bCs/>
                <w:szCs w:val="21"/>
              </w:rPr>
              <w:t>时</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实践</w:t>
            </w:r>
          </w:p>
          <w:p>
            <w:pPr>
              <w:spacing w:line="0" w:lineRule="atLeast"/>
              <w:jc w:val="center"/>
              <w:rPr>
                <w:rFonts w:ascii="宋体" w:hAnsi="宋体"/>
                <w:b/>
                <w:bCs/>
                <w:szCs w:val="21"/>
              </w:rPr>
            </w:pPr>
            <w:r>
              <w:rPr>
                <w:rFonts w:hint="eastAsia" w:ascii="宋体" w:hAnsi="宋体"/>
                <w:b/>
                <w:bCs/>
                <w:szCs w:val="21"/>
              </w:rPr>
              <w:t>课时</w:t>
            </w:r>
          </w:p>
        </w:tc>
        <w:tc>
          <w:tcPr>
            <w:tcW w:w="433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按学年及学期分配（周学时）</w:t>
            </w:r>
          </w:p>
        </w:tc>
        <w:tc>
          <w:tcPr>
            <w:tcW w:w="2282" w:type="dxa"/>
            <w:vMerge w:val="restart"/>
            <w:tcBorders>
              <w:top w:val="single" w:color="000000" w:sz="4" w:space="0"/>
              <w:left w:val="single" w:color="000000" w:sz="4" w:space="0"/>
              <w:right w:val="single" w:color="000000" w:sz="4" w:space="0"/>
            </w:tcBorders>
            <w:shd w:val="clear" w:color="auto" w:fill="FFFFFF"/>
            <w:vAlign w:val="center"/>
          </w:tcPr>
          <w:p>
            <w:pPr>
              <w:spacing w:line="0" w:lineRule="atLeast"/>
              <w:jc w:val="center"/>
              <w:rPr>
                <w:rFonts w:ascii="宋体" w:hAnsi="宋体"/>
                <w:b/>
                <w:bCs/>
                <w:szCs w:val="21"/>
              </w:rPr>
            </w:pPr>
            <w:r>
              <w:rPr>
                <w:rFonts w:hint="eastAsia" w:ascii="宋体" w:hAnsi="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21" w:hRule="atLeast"/>
          <w:jc w:val="center"/>
        </w:trPr>
        <w:tc>
          <w:tcPr>
            <w:tcW w:w="835" w:type="dxa"/>
            <w:gridSpan w:val="2"/>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732" w:type="dxa"/>
            <w:vMerge w:val="continue"/>
            <w:tcBorders>
              <w:top w:val="single" w:color="000000" w:sz="4" w:space="0"/>
              <w:left w:val="single" w:color="000000" w:sz="4" w:space="0"/>
              <w:bottom w:val="single" w:color="000000" w:sz="4" w:space="0"/>
              <w:right w:val="single" w:color="000000" w:sz="2" w:space="0"/>
            </w:tcBorders>
            <w:shd w:val="clear" w:color="auto" w:fill="FFFFFF"/>
            <w:vAlign w:val="center"/>
          </w:tcPr>
          <w:p>
            <w:pPr>
              <w:widowControl/>
              <w:jc w:val="center"/>
              <w:rPr>
                <w:rFonts w:ascii="宋体" w:hAnsi="宋体"/>
                <w:szCs w:val="21"/>
              </w:rPr>
            </w:pPr>
          </w:p>
        </w:tc>
        <w:tc>
          <w:tcPr>
            <w:tcW w:w="582"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rPr>
                <w:rFonts w:ascii="宋体" w:hAnsi="宋体"/>
                <w:b/>
                <w:szCs w:val="21"/>
              </w:rPr>
            </w:pPr>
          </w:p>
        </w:tc>
        <w:tc>
          <w:tcPr>
            <w:tcW w:w="71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1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第一学年</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第二学年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第三学年</w:t>
            </w:r>
          </w:p>
        </w:tc>
        <w:tc>
          <w:tcPr>
            <w:tcW w:w="2282"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21" w:hRule="atLeast"/>
          <w:jc w:val="center"/>
        </w:trPr>
        <w:tc>
          <w:tcPr>
            <w:tcW w:w="835" w:type="dxa"/>
            <w:gridSpan w:val="2"/>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732" w:type="dxa"/>
            <w:vMerge w:val="continue"/>
            <w:tcBorders>
              <w:top w:val="single" w:color="000000" w:sz="4" w:space="0"/>
              <w:left w:val="single" w:color="000000" w:sz="4" w:space="0"/>
              <w:bottom w:val="single" w:color="000000" w:sz="4" w:space="0"/>
              <w:right w:val="single" w:color="000000" w:sz="2" w:space="0"/>
            </w:tcBorders>
            <w:shd w:val="clear" w:color="auto" w:fill="FFFFFF"/>
            <w:vAlign w:val="center"/>
          </w:tcPr>
          <w:p>
            <w:pPr>
              <w:widowControl/>
              <w:jc w:val="center"/>
              <w:rPr>
                <w:rFonts w:ascii="宋体" w:hAnsi="宋体"/>
                <w:szCs w:val="21"/>
              </w:rPr>
            </w:pPr>
          </w:p>
        </w:tc>
        <w:tc>
          <w:tcPr>
            <w:tcW w:w="582"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rPr>
                <w:rFonts w:ascii="宋体" w:hAnsi="宋体"/>
                <w:b/>
                <w:szCs w:val="21"/>
              </w:rPr>
            </w:pPr>
          </w:p>
        </w:tc>
        <w:tc>
          <w:tcPr>
            <w:tcW w:w="71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一</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二</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三</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四</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五</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六</w:t>
            </w:r>
          </w:p>
        </w:tc>
        <w:tc>
          <w:tcPr>
            <w:tcW w:w="2282"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835" w:type="dxa"/>
            <w:gridSpan w:val="2"/>
            <w:vMerge w:val="continue"/>
            <w:tcBorders>
              <w:left w:val="single" w:color="000000" w:sz="4" w:space="0"/>
              <w:bottom w:val="single" w:color="auto"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732" w:type="dxa"/>
            <w:vMerge w:val="continue"/>
            <w:tcBorders>
              <w:top w:val="single" w:color="000000" w:sz="4" w:space="0"/>
              <w:left w:val="single" w:color="000000" w:sz="4" w:space="0"/>
              <w:bottom w:val="single" w:color="000000" w:sz="4" w:space="0"/>
              <w:right w:val="single" w:color="000000" w:sz="2" w:space="0"/>
            </w:tcBorders>
            <w:shd w:val="clear" w:color="auto" w:fill="FFFFFF"/>
            <w:vAlign w:val="center"/>
          </w:tcPr>
          <w:p>
            <w:pPr>
              <w:widowControl/>
              <w:jc w:val="center"/>
              <w:rPr>
                <w:rFonts w:ascii="宋体" w:hAnsi="宋体"/>
                <w:szCs w:val="21"/>
              </w:rPr>
            </w:pPr>
          </w:p>
        </w:tc>
        <w:tc>
          <w:tcPr>
            <w:tcW w:w="582"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rPr>
                <w:rFonts w:ascii="宋体" w:hAnsi="宋体"/>
                <w:b/>
                <w:szCs w:val="21"/>
              </w:rPr>
            </w:pPr>
          </w:p>
        </w:tc>
        <w:tc>
          <w:tcPr>
            <w:tcW w:w="71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ascii="宋体" w:hAnsi="宋体"/>
                <w:b/>
                <w:bCs/>
                <w:szCs w:val="21"/>
              </w:rPr>
              <w:t>1</w:t>
            </w:r>
            <w:r>
              <w:rPr>
                <w:rFonts w:hint="eastAsia" w:ascii="宋体" w:hAnsi="宋体"/>
                <w:b/>
                <w:bCs/>
                <w:szCs w:val="21"/>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14</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1</w:t>
            </w:r>
            <w:r>
              <w:rPr>
                <w:rFonts w:ascii="宋体" w:hAnsi="宋体"/>
                <w:b/>
                <w:bCs/>
                <w:szCs w:val="21"/>
              </w:rPr>
              <w:t>5</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17</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bCs/>
                <w:szCs w:val="21"/>
              </w:rPr>
            </w:pPr>
            <w:r>
              <w:rPr>
                <w:rFonts w:hint="eastAsia" w:ascii="宋体" w:hAnsi="宋体"/>
                <w:b/>
                <w:bCs/>
                <w:szCs w:val="21"/>
              </w:rPr>
              <w:t>17</w:t>
            </w:r>
          </w:p>
        </w:tc>
        <w:tc>
          <w:tcPr>
            <w:tcW w:w="2282"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41" w:hRule="exact"/>
          <w:jc w:val="center"/>
        </w:trPr>
        <w:tc>
          <w:tcPr>
            <w:tcW w:w="385" w:type="dxa"/>
            <w:vMerge w:val="restart"/>
            <w:tcBorders>
              <w:top w:val="single" w:color="auto" w:sz="4" w:space="0"/>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公</w:t>
            </w:r>
          </w:p>
          <w:p>
            <w:pPr>
              <w:spacing w:line="0" w:lineRule="atLeast"/>
              <w:jc w:val="center"/>
              <w:rPr>
                <w:rFonts w:ascii="宋体" w:hAnsi="宋体"/>
                <w:szCs w:val="21"/>
              </w:rPr>
            </w:pPr>
            <w:r>
              <w:rPr>
                <w:rFonts w:hint="eastAsia" w:ascii="宋体" w:hAnsi="宋体"/>
                <w:szCs w:val="21"/>
              </w:rPr>
              <w:t>共</w:t>
            </w:r>
          </w:p>
          <w:p>
            <w:pPr>
              <w:spacing w:line="0" w:lineRule="atLeast"/>
              <w:jc w:val="center"/>
              <w:rPr>
                <w:rFonts w:ascii="宋体" w:hAnsi="宋体"/>
                <w:szCs w:val="21"/>
              </w:rPr>
            </w:pPr>
            <w:r>
              <w:rPr>
                <w:rFonts w:hint="eastAsia" w:ascii="宋体" w:hAnsi="宋体"/>
                <w:szCs w:val="21"/>
              </w:rPr>
              <w:t>基</w:t>
            </w:r>
          </w:p>
          <w:p>
            <w:pPr>
              <w:spacing w:line="0" w:lineRule="atLeast"/>
              <w:jc w:val="center"/>
              <w:rPr>
                <w:rFonts w:ascii="宋体" w:hAnsi="宋体"/>
                <w:szCs w:val="21"/>
              </w:rPr>
            </w:pPr>
            <w:r>
              <w:rPr>
                <w:rFonts w:hint="eastAsia" w:ascii="宋体" w:hAnsi="宋体"/>
                <w:szCs w:val="21"/>
              </w:rPr>
              <w:t>础</w:t>
            </w:r>
          </w:p>
          <w:p>
            <w:pPr>
              <w:spacing w:line="0" w:lineRule="atLeast"/>
              <w:jc w:val="center"/>
              <w:rPr>
                <w:rFonts w:ascii="宋体" w:hAnsi="宋体"/>
                <w:szCs w:val="21"/>
              </w:rPr>
            </w:pPr>
            <w:r>
              <w:rPr>
                <w:rFonts w:hint="eastAsia" w:ascii="宋体" w:hAnsi="宋体"/>
                <w:szCs w:val="21"/>
              </w:rPr>
              <w:t>课</w:t>
            </w:r>
          </w:p>
          <w:p>
            <w:pPr>
              <w:spacing w:line="0" w:lineRule="atLeast"/>
              <w:jc w:val="center"/>
              <w:rPr>
                <w:rFonts w:ascii="宋体" w:hAnsi="宋体"/>
                <w:szCs w:val="21"/>
              </w:rPr>
            </w:pPr>
          </w:p>
        </w:tc>
        <w:tc>
          <w:tcPr>
            <w:tcW w:w="450" w:type="dxa"/>
            <w:vMerge w:val="restart"/>
            <w:tcBorders>
              <w:top w:val="single" w:color="000000" w:sz="4" w:space="0"/>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必</w:t>
            </w:r>
          </w:p>
          <w:p>
            <w:pPr>
              <w:spacing w:line="0" w:lineRule="atLeast"/>
              <w:jc w:val="center"/>
              <w:rPr>
                <w:rFonts w:ascii="宋体" w:hAnsi="宋体"/>
                <w:szCs w:val="21"/>
              </w:rPr>
            </w:pPr>
            <w:r>
              <w:rPr>
                <w:rFonts w:hint="eastAsia" w:ascii="宋体" w:hAnsi="宋体"/>
                <w:szCs w:val="21"/>
              </w:rPr>
              <w:t>修</w:t>
            </w:r>
          </w:p>
          <w:p>
            <w:pPr>
              <w:spacing w:line="0" w:lineRule="atLeast"/>
              <w:jc w:val="center"/>
              <w:rPr>
                <w:rFonts w:ascii="宋体" w:hAnsi="宋体"/>
                <w:szCs w:val="21"/>
              </w:rPr>
            </w:pPr>
            <w:r>
              <w:rPr>
                <w:rFonts w:hint="eastAsia" w:ascii="宋体" w:hAnsi="宋体"/>
                <w:szCs w:val="21"/>
              </w:rPr>
              <w:t>课</w:t>
            </w:r>
          </w:p>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w:t>
            </w:r>
            <w:r>
              <w:rPr>
                <w:rFonts w:ascii="宋体" w:hAnsi="宋体"/>
                <w:szCs w:val="21"/>
              </w:rPr>
              <w:t>0001</w:t>
            </w:r>
          </w:p>
        </w:tc>
        <w:tc>
          <w:tcPr>
            <w:tcW w:w="2732" w:type="dxa"/>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思想道德与法治</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3</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48</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3</w:t>
            </w:r>
            <w:r>
              <w:rPr>
                <w:rFonts w:hint="eastAsia" w:ascii="Calibri" w:hAnsi="Calibri"/>
                <w:sz w:val="18"/>
                <w:szCs w:val="18"/>
              </w:rPr>
              <w:t>▲</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555"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100000002</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hint="eastAsia" w:ascii="宋体" w:hAnsi="宋体"/>
                <w:szCs w:val="21"/>
              </w:rPr>
              <w:t>毛泽东思想和中国特色社会主义理论体系概论</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32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color w:val="auto"/>
                <w:szCs w:val="21"/>
                <w:lang w:eastAsia="zh-CN"/>
              </w:rPr>
            </w:pPr>
            <w:r>
              <w:rPr>
                <w:rFonts w:hint="eastAsia" w:ascii="宋体" w:hAnsi="宋体"/>
                <w:color w:val="auto"/>
                <w:szCs w:val="21"/>
                <w:lang w:val="en-US" w:eastAsia="zh-CN"/>
              </w:rPr>
              <w:t>0</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color w:val="auto"/>
                <w:szCs w:val="21"/>
                <w:lang w:val="en-US" w:eastAsia="zh-CN"/>
              </w:rPr>
              <w:t>2</w:t>
            </w:r>
            <w:r>
              <w:rPr>
                <w:rFonts w:hint="eastAsia" w:ascii="Calibri" w:hAnsi="Calibri"/>
                <w:color w:val="auto"/>
                <w:sz w:val="18"/>
                <w:szCs w:val="18"/>
              </w:rPr>
              <w:t>▲</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272"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10000000</w:t>
            </w:r>
            <w:r>
              <w:rPr>
                <w:rFonts w:ascii="宋体" w:hAnsi="宋体"/>
                <w:szCs w:val="21"/>
              </w:rPr>
              <w:t>3</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hint="eastAsia" w:ascii="宋体" w:hAnsi="宋体"/>
                <w:szCs w:val="21"/>
              </w:rPr>
              <w:t>体育（Ⅰ）</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 w:val="18"/>
                <w:szCs w:val="18"/>
              </w:rPr>
            </w:pPr>
            <w:r>
              <w:rPr>
                <w:rFonts w:hint="eastAsia" w:ascii="宋体" w:hAnsi="宋体"/>
                <w:color w:val="auto"/>
                <w:sz w:val="18"/>
                <w:szCs w:val="18"/>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8"/>
                <w:szCs w:val="18"/>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252"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10000000</w:t>
            </w:r>
            <w:r>
              <w:rPr>
                <w:rFonts w:ascii="宋体" w:hAnsi="宋体"/>
                <w:szCs w:val="21"/>
              </w:rPr>
              <w:t>4</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ascii="宋体" w:hAnsi="宋体"/>
                <w:szCs w:val="21"/>
              </w:rPr>
              <w:t>体育</w:t>
            </w:r>
            <w:r>
              <w:rPr>
                <w:rFonts w:hint="eastAsia" w:ascii="宋体" w:hAnsi="宋体"/>
                <w:szCs w:val="21"/>
              </w:rPr>
              <w:t>（Ⅱ）</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66" w:type="dxa"/>
            <w:shd w:val="clear" w:color="auto" w:fill="FFFFFF"/>
            <w:vAlign w:val="center"/>
          </w:tcPr>
          <w:p>
            <w:pPr>
              <w:spacing w:line="0" w:lineRule="atLeast"/>
              <w:jc w:val="center"/>
              <w:rPr>
                <w:rFonts w:ascii="宋体" w:hAnsi="宋体"/>
                <w:color w:val="auto"/>
                <w:sz w:val="18"/>
                <w:szCs w:val="18"/>
              </w:rPr>
            </w:pPr>
          </w:p>
        </w:tc>
        <w:tc>
          <w:tcPr>
            <w:tcW w:w="813" w:type="dxa"/>
            <w:shd w:val="clear" w:color="auto" w:fill="FFFFFF"/>
            <w:vAlign w:val="center"/>
          </w:tcPr>
          <w:p>
            <w:pPr>
              <w:spacing w:line="0" w:lineRule="atLeast"/>
              <w:jc w:val="center"/>
              <w:rPr>
                <w:rFonts w:ascii="宋体" w:hAnsi="宋体"/>
                <w:sz w:val="18"/>
                <w:szCs w:val="18"/>
              </w:rPr>
            </w:pPr>
            <w:r>
              <w:rPr>
                <w:rFonts w:hint="eastAsia" w:ascii="宋体" w:hAnsi="宋体"/>
                <w:sz w:val="18"/>
                <w:szCs w:val="18"/>
              </w:rPr>
              <w:t>2</w:t>
            </w:r>
          </w:p>
        </w:tc>
        <w:tc>
          <w:tcPr>
            <w:tcW w:w="747" w:type="dxa"/>
            <w:shd w:val="clear" w:color="auto" w:fill="FFFFFF"/>
            <w:vAlign w:val="center"/>
          </w:tcPr>
          <w:p>
            <w:pPr>
              <w:spacing w:line="0" w:lineRule="atLeast"/>
              <w:jc w:val="center"/>
              <w:rPr>
                <w:rFonts w:ascii="宋体" w:hAnsi="宋体"/>
                <w:sz w:val="18"/>
                <w:szCs w:val="18"/>
              </w:rPr>
            </w:pPr>
          </w:p>
        </w:tc>
        <w:tc>
          <w:tcPr>
            <w:tcW w:w="804" w:type="dxa"/>
            <w:shd w:val="clear" w:color="auto" w:fill="FFFFFF"/>
            <w:vAlign w:val="center"/>
          </w:tcPr>
          <w:p>
            <w:pPr>
              <w:spacing w:line="0" w:lineRule="atLeast"/>
              <w:jc w:val="center"/>
              <w:rPr>
                <w:rFonts w:ascii="宋体" w:hAnsi="宋体"/>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281"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10000000</w:t>
            </w:r>
            <w:r>
              <w:rPr>
                <w:rFonts w:ascii="宋体" w:hAnsi="宋体"/>
                <w:szCs w:val="21"/>
              </w:rPr>
              <w:t>5</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ascii="宋体" w:hAnsi="宋体"/>
                <w:szCs w:val="21"/>
              </w:rPr>
              <w:t>体育</w:t>
            </w:r>
            <w:r>
              <w:rPr>
                <w:rFonts w:hint="eastAsia" w:ascii="宋体" w:hAnsi="宋体"/>
                <w:szCs w:val="21"/>
              </w:rPr>
              <w:t>（Ⅲ）</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66" w:type="dxa"/>
            <w:shd w:val="clear" w:color="auto" w:fill="FFFFFF"/>
            <w:vAlign w:val="center"/>
          </w:tcPr>
          <w:p>
            <w:pPr>
              <w:spacing w:line="0" w:lineRule="atLeast"/>
              <w:jc w:val="center"/>
              <w:rPr>
                <w:rFonts w:ascii="宋体" w:hAnsi="宋体"/>
                <w:color w:val="auto"/>
                <w:sz w:val="18"/>
                <w:szCs w:val="18"/>
              </w:rPr>
            </w:pPr>
          </w:p>
        </w:tc>
        <w:tc>
          <w:tcPr>
            <w:tcW w:w="813" w:type="dxa"/>
            <w:shd w:val="clear" w:color="auto" w:fill="FFFFFF"/>
            <w:vAlign w:val="center"/>
          </w:tcPr>
          <w:p>
            <w:pPr>
              <w:spacing w:line="0" w:lineRule="atLeast"/>
              <w:jc w:val="center"/>
              <w:rPr>
                <w:rFonts w:ascii="宋体" w:hAnsi="宋体"/>
                <w:sz w:val="18"/>
                <w:szCs w:val="18"/>
              </w:rPr>
            </w:pPr>
          </w:p>
        </w:tc>
        <w:tc>
          <w:tcPr>
            <w:tcW w:w="747" w:type="dxa"/>
            <w:shd w:val="clear" w:color="auto" w:fill="FFFFFF"/>
            <w:vAlign w:val="center"/>
          </w:tcPr>
          <w:p>
            <w:pPr>
              <w:spacing w:line="0" w:lineRule="atLeast"/>
              <w:jc w:val="center"/>
              <w:rPr>
                <w:rFonts w:ascii="宋体" w:hAnsi="宋体"/>
                <w:sz w:val="18"/>
                <w:szCs w:val="18"/>
              </w:rPr>
            </w:pPr>
          </w:p>
        </w:tc>
        <w:tc>
          <w:tcPr>
            <w:tcW w:w="804" w:type="dxa"/>
            <w:shd w:val="clear" w:color="auto" w:fill="FFFFFF"/>
            <w:vAlign w:val="center"/>
          </w:tcPr>
          <w:p>
            <w:pPr>
              <w:spacing w:line="0" w:lineRule="atLeast"/>
              <w:jc w:val="center"/>
              <w:rPr>
                <w:rFonts w:ascii="宋体" w:hAnsi="宋体"/>
                <w:sz w:val="18"/>
                <w:szCs w:val="18"/>
              </w:rPr>
            </w:pPr>
            <w:r>
              <w:rPr>
                <w:rFonts w:hint="eastAsia" w:ascii="宋体" w:hAnsi="宋体"/>
                <w:sz w:val="18"/>
                <w:szCs w:val="18"/>
              </w:rPr>
              <w:t>2</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43"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10000000</w:t>
            </w:r>
            <w:r>
              <w:rPr>
                <w:rFonts w:ascii="宋体" w:hAnsi="宋体"/>
                <w:szCs w:val="21"/>
              </w:rPr>
              <w:t>7</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hint="eastAsia" w:ascii="宋体" w:hAnsi="宋体"/>
                <w:szCs w:val="21"/>
              </w:rPr>
              <w:t>军事理论</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36</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766" w:type="dxa"/>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13" w:type="dxa"/>
            <w:shd w:val="clear" w:color="auto" w:fill="FFFFFF"/>
            <w:vAlign w:val="center"/>
          </w:tcPr>
          <w:p>
            <w:pPr>
              <w:spacing w:line="0" w:lineRule="atLeast"/>
              <w:jc w:val="center"/>
              <w:rPr>
                <w:rFonts w:ascii="宋体" w:hAnsi="宋体"/>
                <w:szCs w:val="21"/>
              </w:rPr>
            </w:pPr>
          </w:p>
        </w:tc>
        <w:tc>
          <w:tcPr>
            <w:tcW w:w="747" w:type="dxa"/>
            <w:shd w:val="clear" w:color="auto" w:fill="FFFFFF"/>
            <w:vAlign w:val="center"/>
          </w:tcPr>
          <w:p>
            <w:pPr>
              <w:spacing w:line="0" w:lineRule="atLeast"/>
              <w:jc w:val="center"/>
              <w:rPr>
                <w:rFonts w:ascii="宋体" w:hAnsi="宋体"/>
                <w:szCs w:val="21"/>
              </w:rPr>
            </w:pPr>
          </w:p>
        </w:tc>
        <w:tc>
          <w:tcPr>
            <w:tcW w:w="804" w:type="dxa"/>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right w:val="single" w:color="000000" w:sz="4" w:space="0"/>
            </w:tcBorders>
            <w:shd w:val="clear" w:color="auto" w:fill="FFFFFF"/>
            <w:vAlign w:val="center"/>
          </w:tcPr>
          <w:p>
            <w:pPr>
              <w:spacing w:line="0" w:lineRule="atLeast"/>
              <w:rPr>
                <w:rFonts w:ascii="宋体" w:hAnsi="宋体"/>
                <w:sz w:val="18"/>
                <w:szCs w:val="18"/>
              </w:rPr>
            </w:pPr>
          </w:p>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47"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10000000</w:t>
            </w:r>
            <w:r>
              <w:rPr>
                <w:rFonts w:ascii="宋体" w:hAnsi="宋体"/>
                <w:szCs w:val="21"/>
              </w:rPr>
              <w:t>8</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hint="eastAsia" w:ascii="宋体" w:hAnsi="宋体"/>
                <w:szCs w:val="21"/>
              </w:rPr>
              <w:t>军事技能</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p>
        </w:tc>
        <w:tc>
          <w:tcPr>
            <w:tcW w:w="766" w:type="dxa"/>
            <w:shd w:val="clear" w:color="auto" w:fill="FFFFFF"/>
            <w:vAlign w:val="center"/>
          </w:tcPr>
          <w:p>
            <w:pPr>
              <w:spacing w:line="0" w:lineRule="atLeast"/>
              <w:jc w:val="center"/>
              <w:rPr>
                <w:rFonts w:ascii="宋体" w:hAnsi="宋体"/>
                <w:color w:val="auto"/>
                <w:sz w:val="18"/>
                <w:szCs w:val="18"/>
              </w:rPr>
            </w:pPr>
            <w:r>
              <w:rPr>
                <w:rFonts w:hint="eastAsia" w:ascii="宋体" w:hAnsi="宋体"/>
                <w:color w:val="auto"/>
                <w:sz w:val="18"/>
                <w:szCs w:val="18"/>
              </w:rPr>
              <w:t>2W</w:t>
            </w:r>
          </w:p>
        </w:tc>
        <w:tc>
          <w:tcPr>
            <w:tcW w:w="813" w:type="dxa"/>
            <w:shd w:val="clear" w:color="auto" w:fill="FFFFFF"/>
            <w:vAlign w:val="center"/>
          </w:tcPr>
          <w:p>
            <w:pPr>
              <w:spacing w:line="0" w:lineRule="atLeast"/>
              <w:jc w:val="center"/>
              <w:rPr>
                <w:rFonts w:ascii="宋体" w:hAnsi="宋体"/>
                <w:sz w:val="18"/>
                <w:szCs w:val="18"/>
              </w:rPr>
            </w:pPr>
          </w:p>
        </w:tc>
        <w:tc>
          <w:tcPr>
            <w:tcW w:w="747" w:type="dxa"/>
            <w:shd w:val="clear" w:color="auto" w:fill="FFFFFF"/>
            <w:vAlign w:val="center"/>
          </w:tcPr>
          <w:p>
            <w:pPr>
              <w:spacing w:line="0" w:lineRule="atLeast"/>
              <w:jc w:val="center"/>
              <w:rPr>
                <w:rFonts w:ascii="宋体" w:hAnsi="宋体"/>
                <w:sz w:val="18"/>
                <w:szCs w:val="18"/>
              </w:rPr>
            </w:pPr>
          </w:p>
        </w:tc>
        <w:tc>
          <w:tcPr>
            <w:tcW w:w="804" w:type="dxa"/>
            <w:shd w:val="clear" w:color="auto" w:fill="FFFFFF"/>
            <w:vAlign w:val="center"/>
          </w:tcPr>
          <w:p>
            <w:pPr>
              <w:spacing w:line="0" w:lineRule="atLeast"/>
              <w:jc w:val="center"/>
              <w:rPr>
                <w:rFonts w:ascii="宋体" w:hAnsi="宋体"/>
                <w:sz w:val="18"/>
                <w:szCs w:val="18"/>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40"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10000000</w:t>
            </w:r>
            <w:r>
              <w:rPr>
                <w:rFonts w:ascii="宋体" w:hAnsi="宋体"/>
                <w:szCs w:val="21"/>
              </w:rPr>
              <w:t>9</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hint="eastAsia" w:ascii="宋体" w:hAnsi="宋体"/>
                <w:szCs w:val="21"/>
              </w:rPr>
              <w:t>形势与政策</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766" w:type="dxa"/>
            <w:shd w:val="clear" w:color="auto" w:fill="FFFFFF"/>
            <w:vAlign w:val="center"/>
          </w:tcPr>
          <w:p>
            <w:pPr>
              <w:spacing w:line="0" w:lineRule="atLeast"/>
              <w:jc w:val="center"/>
              <w:rPr>
                <w:rFonts w:ascii="宋体" w:hAnsi="宋体"/>
                <w:color w:val="auto"/>
                <w:sz w:val="18"/>
                <w:szCs w:val="18"/>
              </w:rPr>
            </w:pPr>
            <w:r>
              <w:rPr>
                <w:rFonts w:hint="eastAsia" w:ascii="宋体" w:hAnsi="宋体"/>
                <w:color w:val="auto"/>
                <w:sz w:val="18"/>
                <w:szCs w:val="18"/>
              </w:rPr>
              <w:t>0.5</w:t>
            </w:r>
            <w:r>
              <w:rPr>
                <w:rFonts w:hint="eastAsia" w:ascii="Calibri" w:hAnsi="Calibri"/>
                <w:color w:val="auto"/>
                <w:sz w:val="18"/>
                <w:szCs w:val="18"/>
              </w:rPr>
              <w:t>▲</w:t>
            </w:r>
          </w:p>
        </w:tc>
        <w:tc>
          <w:tcPr>
            <w:tcW w:w="813" w:type="dxa"/>
            <w:shd w:val="clear" w:color="auto" w:fill="FFFFFF"/>
            <w:vAlign w:val="center"/>
          </w:tcPr>
          <w:p>
            <w:pPr>
              <w:spacing w:line="0" w:lineRule="atLeast"/>
              <w:jc w:val="center"/>
              <w:rPr>
                <w:rFonts w:ascii="宋体" w:hAnsi="宋体"/>
                <w:sz w:val="18"/>
                <w:szCs w:val="18"/>
              </w:rPr>
            </w:pPr>
            <w:r>
              <w:rPr>
                <w:rFonts w:hint="eastAsia" w:ascii="宋体" w:hAnsi="宋体"/>
                <w:sz w:val="18"/>
                <w:szCs w:val="18"/>
              </w:rPr>
              <w:t>0.5</w:t>
            </w:r>
            <w:r>
              <w:rPr>
                <w:rFonts w:hint="eastAsia" w:ascii="Calibri" w:hAnsi="Calibri"/>
                <w:sz w:val="18"/>
                <w:szCs w:val="18"/>
              </w:rPr>
              <w:t>▲</w:t>
            </w:r>
          </w:p>
        </w:tc>
        <w:tc>
          <w:tcPr>
            <w:tcW w:w="747" w:type="dxa"/>
            <w:shd w:val="clear" w:color="auto" w:fill="FFFFFF"/>
            <w:vAlign w:val="center"/>
          </w:tcPr>
          <w:p>
            <w:pPr>
              <w:spacing w:line="0" w:lineRule="atLeast"/>
              <w:jc w:val="center"/>
              <w:rPr>
                <w:rFonts w:ascii="宋体" w:hAnsi="宋体"/>
                <w:sz w:val="18"/>
                <w:szCs w:val="18"/>
              </w:rPr>
            </w:pPr>
            <w:r>
              <w:rPr>
                <w:rFonts w:hint="eastAsia" w:ascii="宋体" w:hAnsi="宋体"/>
                <w:sz w:val="15"/>
                <w:szCs w:val="15"/>
              </w:rPr>
              <w:t>0.5</w:t>
            </w:r>
            <w:r>
              <w:rPr>
                <w:rFonts w:hint="eastAsia" w:ascii="Calibri" w:hAnsi="Calibri"/>
                <w:sz w:val="15"/>
                <w:szCs w:val="15"/>
              </w:rPr>
              <w:t>▲</w:t>
            </w:r>
          </w:p>
        </w:tc>
        <w:tc>
          <w:tcPr>
            <w:tcW w:w="804" w:type="dxa"/>
            <w:shd w:val="clear" w:color="auto" w:fill="FFFFFF"/>
            <w:vAlign w:val="center"/>
          </w:tcPr>
          <w:p>
            <w:pPr>
              <w:spacing w:line="0" w:lineRule="atLeast"/>
              <w:jc w:val="center"/>
              <w:rPr>
                <w:rFonts w:ascii="宋体" w:hAnsi="宋体"/>
                <w:sz w:val="18"/>
                <w:szCs w:val="18"/>
              </w:rPr>
            </w:pPr>
            <w:r>
              <w:rPr>
                <w:rFonts w:hint="eastAsia" w:ascii="宋体" w:hAnsi="宋体"/>
                <w:sz w:val="15"/>
                <w:szCs w:val="15"/>
              </w:rPr>
              <w:t>0.5</w:t>
            </w:r>
            <w:r>
              <w:rPr>
                <w:rFonts w:hint="eastAsia" w:ascii="Calibri" w:hAnsi="Calibri"/>
                <w:sz w:val="15"/>
                <w:szCs w:val="15"/>
              </w:rPr>
              <w:t>▲</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88"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1000000</w:t>
            </w:r>
            <w:r>
              <w:rPr>
                <w:rFonts w:ascii="宋体" w:hAnsi="宋体"/>
                <w:szCs w:val="21"/>
              </w:rPr>
              <w:t>10</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hint="eastAsia" w:ascii="宋体" w:hAnsi="宋体"/>
                <w:szCs w:val="21"/>
              </w:rPr>
              <w:t>大学生职业发展与就业</w:t>
            </w:r>
          </w:p>
          <w:p>
            <w:pPr>
              <w:spacing w:line="0" w:lineRule="atLeast"/>
              <w:jc w:val="center"/>
              <w:rPr>
                <w:rFonts w:ascii="宋体" w:hAnsi="宋体"/>
                <w:szCs w:val="21"/>
              </w:rPr>
            </w:pPr>
            <w:r>
              <w:rPr>
                <w:rFonts w:hint="eastAsia" w:ascii="宋体" w:hAnsi="宋体"/>
                <w:szCs w:val="21"/>
              </w:rPr>
              <w:t>指导</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38</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8</w:t>
            </w:r>
          </w:p>
        </w:tc>
        <w:tc>
          <w:tcPr>
            <w:tcW w:w="766" w:type="dxa"/>
            <w:shd w:val="clear" w:color="auto" w:fill="FFFFFF"/>
            <w:vAlign w:val="center"/>
          </w:tcPr>
          <w:p>
            <w:pPr>
              <w:spacing w:line="0" w:lineRule="atLeast"/>
              <w:jc w:val="center"/>
              <w:rPr>
                <w:rFonts w:ascii="宋体" w:hAnsi="宋体"/>
                <w:color w:val="auto"/>
                <w:sz w:val="15"/>
                <w:szCs w:val="15"/>
              </w:rPr>
            </w:pPr>
            <w:r>
              <w:rPr>
                <w:rFonts w:hint="eastAsia" w:ascii="宋体" w:hAnsi="宋体"/>
                <w:color w:val="auto"/>
                <w:sz w:val="15"/>
                <w:szCs w:val="15"/>
              </w:rPr>
              <w:t>（1）</w:t>
            </w:r>
            <w:r>
              <w:rPr>
                <w:rFonts w:hint="eastAsia" w:ascii="Calibri" w:hAnsi="Calibri"/>
                <w:color w:val="auto"/>
                <w:sz w:val="18"/>
                <w:szCs w:val="18"/>
              </w:rPr>
              <w:t>▲</w:t>
            </w:r>
          </w:p>
        </w:tc>
        <w:tc>
          <w:tcPr>
            <w:tcW w:w="813" w:type="dxa"/>
            <w:shd w:val="clear" w:color="auto" w:fill="FFFFFF"/>
            <w:vAlign w:val="center"/>
          </w:tcPr>
          <w:p>
            <w:pPr>
              <w:spacing w:line="0" w:lineRule="atLeast"/>
              <w:jc w:val="center"/>
              <w:rPr>
                <w:rFonts w:ascii="宋体" w:hAnsi="宋体"/>
                <w:sz w:val="15"/>
                <w:szCs w:val="15"/>
              </w:rPr>
            </w:pPr>
          </w:p>
        </w:tc>
        <w:tc>
          <w:tcPr>
            <w:tcW w:w="747" w:type="dxa"/>
            <w:shd w:val="clear" w:color="auto" w:fill="FFFFFF"/>
            <w:vAlign w:val="center"/>
          </w:tcPr>
          <w:p>
            <w:pPr>
              <w:spacing w:line="0" w:lineRule="atLeast"/>
              <w:jc w:val="center"/>
              <w:rPr>
                <w:rFonts w:ascii="宋体" w:hAnsi="宋体"/>
                <w:sz w:val="15"/>
                <w:szCs w:val="15"/>
              </w:rPr>
            </w:pPr>
          </w:p>
        </w:tc>
        <w:tc>
          <w:tcPr>
            <w:tcW w:w="804" w:type="dxa"/>
            <w:shd w:val="clear" w:color="auto" w:fill="FFFFFF"/>
            <w:vAlign w:val="center"/>
          </w:tcPr>
          <w:p>
            <w:pPr>
              <w:spacing w:line="0" w:lineRule="atLeast"/>
              <w:jc w:val="center"/>
              <w:rPr>
                <w:rFonts w:ascii="宋体" w:hAnsi="宋体"/>
                <w:sz w:val="15"/>
                <w:szCs w:val="15"/>
              </w:rPr>
            </w:pPr>
            <w:r>
              <w:rPr>
                <w:rFonts w:hint="eastAsia" w:ascii="宋体" w:hAnsi="宋体"/>
                <w:sz w:val="15"/>
                <w:szCs w:val="15"/>
              </w:rPr>
              <w:t>（1）</w:t>
            </w:r>
            <w:r>
              <w:rPr>
                <w:rFonts w:hint="eastAsia" w:ascii="Calibri" w:hAnsi="Calibri"/>
                <w:sz w:val="18"/>
                <w:szCs w:val="18"/>
              </w:rPr>
              <w:t>▲</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21"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kern w:val="0"/>
                <w:szCs w:val="21"/>
              </w:rPr>
            </w:pPr>
            <w:r>
              <w:rPr>
                <w:rFonts w:hint="eastAsia" w:ascii="宋体" w:hAnsi="宋体"/>
                <w:szCs w:val="21"/>
              </w:rPr>
              <w:t>1000000</w:t>
            </w:r>
            <w:r>
              <w:rPr>
                <w:rFonts w:ascii="宋体" w:hAnsi="宋体"/>
                <w:szCs w:val="21"/>
              </w:rPr>
              <w:t>11</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widowControl/>
              <w:jc w:val="center"/>
              <w:rPr>
                <w:rFonts w:ascii="宋体" w:hAnsi="宋体"/>
                <w:szCs w:val="21"/>
              </w:rPr>
            </w:pPr>
            <w:r>
              <w:rPr>
                <w:rFonts w:hint="eastAsia" w:ascii="宋体" w:hAnsi="宋体"/>
                <w:szCs w:val="21"/>
              </w:rPr>
              <w:t>大学生心理健康教育</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32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766" w:type="dxa"/>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（2）</w:t>
            </w:r>
          </w:p>
        </w:tc>
        <w:tc>
          <w:tcPr>
            <w:tcW w:w="813" w:type="dxa"/>
            <w:shd w:val="clear" w:color="auto" w:fill="FFFFFF"/>
            <w:vAlign w:val="center"/>
          </w:tcPr>
          <w:p>
            <w:pPr>
              <w:spacing w:line="0" w:lineRule="atLeast"/>
              <w:jc w:val="center"/>
              <w:rPr>
                <w:rFonts w:ascii="宋体" w:hAnsi="宋体"/>
                <w:szCs w:val="21"/>
              </w:rPr>
            </w:pPr>
          </w:p>
        </w:tc>
        <w:tc>
          <w:tcPr>
            <w:tcW w:w="747" w:type="dxa"/>
            <w:shd w:val="clear" w:color="auto" w:fill="FFFFFF"/>
            <w:vAlign w:val="center"/>
          </w:tcPr>
          <w:p>
            <w:pPr>
              <w:spacing w:line="0" w:lineRule="atLeast"/>
              <w:jc w:val="center"/>
              <w:rPr>
                <w:rFonts w:ascii="宋体" w:hAnsi="宋体"/>
                <w:szCs w:val="21"/>
              </w:rPr>
            </w:pPr>
          </w:p>
        </w:tc>
        <w:tc>
          <w:tcPr>
            <w:tcW w:w="804" w:type="dxa"/>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572"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100000012</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“四史”教育（中国共产党简史）</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16</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0</w:t>
            </w:r>
          </w:p>
        </w:tc>
        <w:tc>
          <w:tcPr>
            <w:tcW w:w="766" w:type="dxa"/>
            <w:shd w:val="clear" w:color="auto" w:fill="FFFFFF"/>
            <w:vAlign w:val="center"/>
          </w:tcPr>
          <w:p>
            <w:pPr>
              <w:spacing w:line="0" w:lineRule="atLeast"/>
              <w:jc w:val="center"/>
              <w:rPr>
                <w:rFonts w:hint="eastAsia" w:ascii="宋体" w:hAnsi="宋体"/>
                <w:color w:val="auto"/>
                <w:szCs w:val="21"/>
              </w:rPr>
            </w:pPr>
            <w:r>
              <w:rPr>
                <w:rFonts w:hint="eastAsia" w:ascii="宋体" w:hAnsi="宋体" w:eastAsia="宋体" w:cs="Times New Roman"/>
                <w:color w:val="auto"/>
                <w:sz w:val="18"/>
                <w:szCs w:val="18"/>
                <w:lang w:val="en-US" w:eastAsia="zh-CN"/>
              </w:rPr>
              <w:t>1</w:t>
            </w:r>
            <w:r>
              <w:rPr>
                <w:rFonts w:hint="eastAsia" w:ascii="Calibri" w:hAnsi="Calibri" w:eastAsia="宋体" w:cs="Times New Roman"/>
                <w:color w:val="auto"/>
                <w:sz w:val="18"/>
                <w:szCs w:val="18"/>
              </w:rPr>
              <w:t>▲</w:t>
            </w:r>
          </w:p>
        </w:tc>
        <w:tc>
          <w:tcPr>
            <w:tcW w:w="813" w:type="dxa"/>
            <w:shd w:val="clear" w:color="auto" w:fill="FFFFFF"/>
            <w:vAlign w:val="center"/>
          </w:tcPr>
          <w:p>
            <w:pPr>
              <w:spacing w:line="0" w:lineRule="atLeast"/>
              <w:jc w:val="center"/>
              <w:rPr>
                <w:rFonts w:ascii="宋体" w:hAnsi="宋体"/>
                <w:szCs w:val="21"/>
              </w:rPr>
            </w:pPr>
          </w:p>
        </w:tc>
        <w:tc>
          <w:tcPr>
            <w:tcW w:w="747" w:type="dxa"/>
            <w:shd w:val="clear" w:color="auto" w:fill="FFFFFF"/>
            <w:vAlign w:val="center"/>
          </w:tcPr>
          <w:p>
            <w:pPr>
              <w:spacing w:line="0" w:lineRule="atLeast"/>
              <w:jc w:val="center"/>
              <w:rPr>
                <w:rFonts w:ascii="宋体" w:hAnsi="宋体"/>
                <w:szCs w:val="21"/>
              </w:rPr>
            </w:pPr>
          </w:p>
        </w:tc>
        <w:tc>
          <w:tcPr>
            <w:tcW w:w="804" w:type="dxa"/>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选择性必修课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649"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100000013</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hint="eastAsia" w:ascii="宋体" w:hAnsi="宋体" w:cs="Times New Roman" w:eastAsiaTheme="minorEastAsia"/>
                <w:color w:val="auto"/>
                <w:kern w:val="2"/>
                <w:sz w:val="21"/>
                <w:szCs w:val="21"/>
                <w:lang w:val="en-US" w:eastAsia="zh-CN" w:bidi="ar-SA"/>
              </w:rPr>
            </w:pPr>
            <w:r>
              <w:rPr>
                <w:rFonts w:hint="eastAsia" w:ascii="宋体" w:hAnsi="宋体"/>
                <w:color w:val="auto"/>
                <w:szCs w:val="21"/>
                <w:lang w:val="en-US" w:eastAsia="zh-CN"/>
              </w:rPr>
              <w:t>习近平新时代中国特色社会主义思想概论</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48</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color w:val="auto"/>
                <w:szCs w:val="21"/>
                <w:lang w:val="en-US" w:eastAsia="zh-CN"/>
              </w:rPr>
            </w:pPr>
            <w:r>
              <w:rPr>
                <w:rFonts w:hint="eastAsia" w:ascii="宋体" w:hAnsi="宋体"/>
                <w:color w:val="auto"/>
                <w:szCs w:val="21"/>
                <w:lang w:val="en-US" w:eastAsia="zh-CN"/>
              </w:rPr>
              <w:t>16</w:t>
            </w:r>
          </w:p>
        </w:tc>
        <w:tc>
          <w:tcPr>
            <w:tcW w:w="766" w:type="dxa"/>
            <w:shd w:val="clear" w:color="auto" w:fill="FFFFFF"/>
            <w:vAlign w:val="center"/>
          </w:tcPr>
          <w:p>
            <w:pPr>
              <w:spacing w:line="0" w:lineRule="atLeast"/>
              <w:jc w:val="center"/>
              <w:rPr>
                <w:rFonts w:hint="eastAsia" w:ascii="宋体" w:hAnsi="宋体"/>
                <w:color w:val="auto"/>
                <w:szCs w:val="21"/>
              </w:rPr>
            </w:pPr>
          </w:p>
        </w:tc>
        <w:tc>
          <w:tcPr>
            <w:tcW w:w="813" w:type="dxa"/>
            <w:shd w:val="clear" w:color="auto" w:fill="FFFFFF"/>
            <w:vAlign w:val="center"/>
          </w:tcPr>
          <w:p>
            <w:pPr>
              <w:spacing w:line="0" w:lineRule="atLeast"/>
              <w:jc w:val="center"/>
              <w:rPr>
                <w:rFonts w:ascii="宋体" w:hAnsi="宋体"/>
                <w:color w:val="auto"/>
                <w:szCs w:val="21"/>
              </w:rPr>
            </w:pPr>
            <w:r>
              <w:rPr>
                <w:rFonts w:hint="eastAsia" w:ascii="宋体" w:hAnsi="宋体" w:eastAsia="宋体" w:cs="Times New Roman"/>
                <w:color w:val="auto"/>
                <w:sz w:val="18"/>
                <w:szCs w:val="18"/>
              </w:rPr>
              <w:t>3</w:t>
            </w:r>
            <w:r>
              <w:rPr>
                <w:rFonts w:hint="eastAsia" w:ascii="Calibri" w:hAnsi="Calibri" w:eastAsia="宋体" w:cs="Times New Roman"/>
                <w:color w:val="auto"/>
                <w:sz w:val="18"/>
                <w:szCs w:val="18"/>
              </w:rPr>
              <w:t>▲</w:t>
            </w:r>
          </w:p>
        </w:tc>
        <w:tc>
          <w:tcPr>
            <w:tcW w:w="747" w:type="dxa"/>
            <w:shd w:val="clear" w:color="auto" w:fill="FFFFFF"/>
            <w:vAlign w:val="center"/>
          </w:tcPr>
          <w:p>
            <w:pPr>
              <w:spacing w:line="0" w:lineRule="atLeast"/>
              <w:jc w:val="center"/>
              <w:rPr>
                <w:rFonts w:ascii="宋体" w:hAnsi="宋体"/>
                <w:szCs w:val="21"/>
              </w:rPr>
            </w:pPr>
          </w:p>
        </w:tc>
        <w:tc>
          <w:tcPr>
            <w:tcW w:w="804" w:type="dxa"/>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82"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1000000</w:t>
            </w:r>
            <w:r>
              <w:rPr>
                <w:rFonts w:ascii="宋体" w:hAnsi="宋体"/>
                <w:szCs w:val="21"/>
              </w:rPr>
              <w:t>41</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widowControl/>
              <w:jc w:val="center"/>
              <w:rPr>
                <w:rFonts w:ascii="宋体" w:hAnsi="宋体"/>
                <w:color w:val="auto"/>
                <w:szCs w:val="21"/>
              </w:rPr>
            </w:pPr>
            <w:r>
              <w:rPr>
                <w:rFonts w:hint="eastAsia" w:ascii="宋体" w:hAnsi="宋体"/>
                <w:color w:val="auto"/>
                <w:szCs w:val="21"/>
              </w:rPr>
              <w:t>劳动</w:t>
            </w:r>
            <w:r>
              <w:rPr>
                <w:rFonts w:ascii="宋体" w:hAnsi="宋体"/>
                <w:color w:val="auto"/>
                <w:szCs w:val="21"/>
              </w:rPr>
              <w:t>教育</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16</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ascii="宋体" w:hAnsi="宋体"/>
                <w:color w:val="auto"/>
                <w:szCs w:val="21"/>
              </w:rPr>
              <w:t>0</w:t>
            </w:r>
          </w:p>
        </w:tc>
        <w:tc>
          <w:tcPr>
            <w:tcW w:w="766" w:type="dxa"/>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813" w:type="dxa"/>
            <w:shd w:val="clear" w:color="auto" w:fill="FFFFFF"/>
            <w:vAlign w:val="center"/>
          </w:tcPr>
          <w:p>
            <w:pPr>
              <w:spacing w:line="0" w:lineRule="atLeast"/>
              <w:jc w:val="center"/>
              <w:rPr>
                <w:rFonts w:ascii="宋体" w:hAnsi="宋体"/>
                <w:color w:val="auto"/>
                <w:szCs w:val="21"/>
              </w:rPr>
            </w:pPr>
          </w:p>
        </w:tc>
        <w:tc>
          <w:tcPr>
            <w:tcW w:w="747" w:type="dxa"/>
            <w:shd w:val="clear" w:color="auto" w:fill="FFFFFF"/>
            <w:vAlign w:val="center"/>
          </w:tcPr>
          <w:p>
            <w:pPr>
              <w:spacing w:line="0" w:lineRule="atLeast"/>
              <w:jc w:val="center"/>
              <w:rPr>
                <w:rFonts w:ascii="宋体" w:hAnsi="宋体"/>
                <w:szCs w:val="21"/>
              </w:rPr>
            </w:pPr>
          </w:p>
        </w:tc>
        <w:tc>
          <w:tcPr>
            <w:tcW w:w="804" w:type="dxa"/>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289"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1000000</w:t>
            </w:r>
            <w:r>
              <w:rPr>
                <w:rFonts w:ascii="宋体" w:hAnsi="宋体"/>
                <w:szCs w:val="21"/>
              </w:rPr>
              <w:t>42</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widowControl/>
              <w:jc w:val="center"/>
              <w:rPr>
                <w:rFonts w:ascii="宋体" w:hAnsi="宋体"/>
                <w:color w:val="auto"/>
                <w:szCs w:val="21"/>
              </w:rPr>
            </w:pPr>
            <w:r>
              <w:rPr>
                <w:rFonts w:hint="eastAsia" w:ascii="宋体" w:hAnsi="宋体"/>
                <w:color w:val="auto"/>
                <w:szCs w:val="21"/>
              </w:rPr>
              <w:t>国家</w:t>
            </w:r>
            <w:r>
              <w:rPr>
                <w:rFonts w:ascii="宋体" w:hAnsi="宋体"/>
                <w:color w:val="auto"/>
                <w:szCs w:val="21"/>
              </w:rPr>
              <w:t>安全教育</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16</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0</w:t>
            </w:r>
          </w:p>
        </w:tc>
        <w:tc>
          <w:tcPr>
            <w:tcW w:w="766" w:type="dxa"/>
            <w:shd w:val="clear" w:color="auto" w:fill="FFFFFF"/>
            <w:vAlign w:val="center"/>
          </w:tcPr>
          <w:p>
            <w:pPr>
              <w:spacing w:line="0" w:lineRule="atLeast"/>
              <w:jc w:val="center"/>
              <w:rPr>
                <w:rFonts w:ascii="宋体" w:hAnsi="宋体"/>
                <w:color w:val="auto"/>
                <w:szCs w:val="21"/>
              </w:rPr>
            </w:pPr>
          </w:p>
        </w:tc>
        <w:tc>
          <w:tcPr>
            <w:tcW w:w="813" w:type="dxa"/>
            <w:shd w:val="clear" w:color="auto" w:fill="FFFFFF"/>
            <w:vAlign w:val="center"/>
          </w:tcPr>
          <w:p>
            <w:pPr>
              <w:spacing w:line="0" w:lineRule="atLeast"/>
              <w:jc w:val="center"/>
              <w:rPr>
                <w:rFonts w:ascii="宋体" w:hAnsi="宋体"/>
                <w:color w:val="auto"/>
                <w:szCs w:val="21"/>
              </w:rPr>
            </w:pPr>
            <w:r>
              <w:rPr>
                <w:rFonts w:hint="eastAsia" w:ascii="宋体" w:hAnsi="宋体"/>
                <w:color w:val="auto"/>
                <w:szCs w:val="21"/>
              </w:rPr>
              <w:t>（1）</w:t>
            </w:r>
          </w:p>
        </w:tc>
        <w:tc>
          <w:tcPr>
            <w:tcW w:w="747" w:type="dxa"/>
            <w:shd w:val="clear" w:color="auto" w:fill="FFFFFF"/>
            <w:vAlign w:val="center"/>
          </w:tcPr>
          <w:p>
            <w:pPr>
              <w:spacing w:line="0" w:lineRule="atLeast"/>
              <w:jc w:val="center"/>
              <w:rPr>
                <w:rFonts w:ascii="宋体" w:hAnsi="宋体"/>
                <w:szCs w:val="21"/>
              </w:rPr>
            </w:pPr>
          </w:p>
        </w:tc>
        <w:tc>
          <w:tcPr>
            <w:tcW w:w="804" w:type="dxa"/>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 w:val="15"/>
                <w:szCs w:val="15"/>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00"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839" w:type="dxa"/>
            <w:gridSpan w:val="3"/>
            <w:tcBorders>
              <w:top w:val="single" w:color="000000" w:sz="4" w:space="0"/>
              <w:left w:val="single" w:color="000000" w:sz="4" w:space="0"/>
              <w:bottom w:val="single" w:color="000000" w:sz="4" w:space="0"/>
              <w:right w:val="single" w:color="000000" w:sz="2" w:space="0"/>
            </w:tcBorders>
            <w:shd w:val="clear" w:color="auto" w:fill="BEBEBE"/>
            <w:vAlign w:val="center"/>
          </w:tcPr>
          <w:p>
            <w:pPr>
              <w:widowControl/>
              <w:jc w:val="center"/>
              <w:rPr>
                <w:rFonts w:ascii="宋体" w:hAnsi="宋体"/>
                <w:b/>
                <w:bCs/>
                <w:color w:val="auto"/>
                <w:szCs w:val="21"/>
              </w:rPr>
            </w:pPr>
            <w:r>
              <w:rPr>
                <w:rFonts w:hint="eastAsia" w:ascii="宋体" w:hAnsi="宋体"/>
                <w:b/>
                <w:bCs/>
                <w:color w:val="auto"/>
                <w:szCs w:val="21"/>
              </w:rPr>
              <w:t>公共基础必修课小计</w:t>
            </w:r>
          </w:p>
        </w:tc>
        <w:tc>
          <w:tcPr>
            <w:tcW w:w="582" w:type="dxa"/>
            <w:tcBorders>
              <w:top w:val="single" w:color="000000" w:sz="4" w:space="0"/>
              <w:left w:val="single" w:color="000000" w:sz="12"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27</w:t>
            </w:r>
          </w:p>
        </w:tc>
        <w:tc>
          <w:tcPr>
            <w:tcW w:w="711" w:type="dxa"/>
            <w:tcBorders>
              <w:top w:val="single" w:color="000000" w:sz="4" w:space="0"/>
              <w:left w:val="single" w:color="000000" w:sz="12"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422</w:t>
            </w:r>
          </w:p>
        </w:tc>
        <w:tc>
          <w:tcPr>
            <w:tcW w:w="7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color w:val="auto"/>
                <w:szCs w:val="21"/>
              </w:rPr>
            </w:pPr>
            <w:r>
              <w:rPr>
                <w:rFonts w:hint="eastAsia" w:ascii="宋体" w:hAnsi="宋体"/>
                <w:b/>
                <w:bCs/>
                <w:color w:val="auto"/>
                <w:szCs w:val="21"/>
              </w:rPr>
              <w:t>148</w:t>
            </w:r>
          </w:p>
        </w:tc>
        <w:tc>
          <w:tcPr>
            <w:tcW w:w="76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color w:val="auto"/>
                <w:szCs w:val="21"/>
              </w:rPr>
            </w:pPr>
            <w:r>
              <w:rPr>
                <w:rFonts w:hint="eastAsia" w:ascii="宋体" w:hAnsi="宋体"/>
                <w:b/>
                <w:bCs/>
                <w:color w:val="auto"/>
                <w:szCs w:val="21"/>
                <w:lang w:val="en-US" w:eastAsia="zh-CN"/>
              </w:rPr>
              <w:t>6</w:t>
            </w:r>
            <w:r>
              <w:rPr>
                <w:rFonts w:hint="eastAsia" w:ascii="宋体" w:hAnsi="宋体"/>
                <w:b/>
                <w:bCs/>
                <w:color w:val="auto"/>
                <w:szCs w:val="21"/>
              </w:rPr>
              <w:t>.5</w:t>
            </w:r>
          </w:p>
        </w:tc>
        <w:tc>
          <w:tcPr>
            <w:tcW w:w="813"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color w:val="auto"/>
                <w:szCs w:val="21"/>
              </w:rPr>
            </w:pPr>
            <w:r>
              <w:rPr>
                <w:rFonts w:hint="eastAsia" w:ascii="宋体" w:hAnsi="宋体"/>
                <w:b/>
                <w:bCs/>
                <w:color w:val="auto"/>
                <w:szCs w:val="21"/>
                <w:lang w:val="en-US" w:eastAsia="zh-CN"/>
              </w:rPr>
              <w:t>7</w:t>
            </w:r>
            <w:r>
              <w:rPr>
                <w:rFonts w:hint="eastAsia" w:ascii="宋体" w:hAnsi="宋体"/>
                <w:b/>
                <w:bCs/>
                <w:color w:val="auto"/>
                <w:szCs w:val="21"/>
              </w:rPr>
              <w:t>.5</w:t>
            </w:r>
          </w:p>
        </w:tc>
        <w:tc>
          <w:tcPr>
            <w:tcW w:w="74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0.5</w:t>
            </w:r>
          </w:p>
        </w:tc>
        <w:tc>
          <w:tcPr>
            <w:tcW w:w="80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2.5</w:t>
            </w:r>
          </w:p>
        </w:tc>
        <w:tc>
          <w:tcPr>
            <w:tcW w:w="63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08"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restart"/>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p>
            <w:pPr>
              <w:spacing w:line="0" w:lineRule="atLeast"/>
              <w:jc w:val="center"/>
              <w:rPr>
                <w:rFonts w:ascii="宋体" w:hAnsi="宋体"/>
                <w:szCs w:val="21"/>
              </w:rPr>
            </w:pPr>
          </w:p>
          <w:p>
            <w:pPr>
              <w:spacing w:line="0" w:lineRule="atLeast"/>
              <w:jc w:val="center"/>
              <w:rPr>
                <w:rFonts w:ascii="宋体" w:hAnsi="宋体"/>
                <w:szCs w:val="21"/>
              </w:rPr>
            </w:pPr>
          </w:p>
          <w:p>
            <w:pPr>
              <w:spacing w:line="0" w:lineRule="atLeast"/>
              <w:jc w:val="center"/>
              <w:rPr>
                <w:rFonts w:ascii="宋体" w:hAnsi="宋体"/>
                <w:szCs w:val="21"/>
              </w:rPr>
            </w:pPr>
          </w:p>
          <w:p>
            <w:pPr>
              <w:spacing w:line="0" w:lineRule="atLeast"/>
              <w:jc w:val="center"/>
              <w:rPr>
                <w:rFonts w:ascii="宋体" w:hAnsi="宋体"/>
                <w:szCs w:val="21"/>
              </w:rPr>
            </w:pPr>
            <w:r>
              <w:rPr>
                <w:rFonts w:hint="eastAsia" w:ascii="宋体" w:hAnsi="宋体"/>
                <w:szCs w:val="21"/>
              </w:rPr>
              <w:t>选</w:t>
            </w:r>
          </w:p>
          <w:p>
            <w:pPr>
              <w:spacing w:line="0" w:lineRule="atLeast"/>
              <w:jc w:val="center"/>
              <w:rPr>
                <w:rFonts w:ascii="宋体" w:hAnsi="宋体"/>
                <w:szCs w:val="21"/>
              </w:rPr>
            </w:pPr>
            <w:r>
              <w:rPr>
                <w:rFonts w:hint="eastAsia" w:ascii="宋体" w:hAnsi="宋体"/>
                <w:szCs w:val="21"/>
              </w:rPr>
              <w:t>修</w:t>
            </w:r>
          </w:p>
          <w:p>
            <w:pPr>
              <w:spacing w:line="0" w:lineRule="atLeast"/>
              <w:jc w:val="center"/>
              <w:rPr>
                <w:rFonts w:ascii="宋体" w:hAnsi="宋体"/>
                <w:szCs w:val="21"/>
              </w:rPr>
            </w:pPr>
            <w:r>
              <w:rPr>
                <w:rFonts w:hint="eastAsia" w:ascii="宋体" w:hAnsi="宋体"/>
                <w:szCs w:val="21"/>
              </w:rPr>
              <w:t>课</w:t>
            </w:r>
          </w:p>
        </w:tc>
        <w:tc>
          <w:tcPr>
            <w:tcW w:w="2107" w:type="dxa"/>
            <w:gridSpan w:val="2"/>
            <w:tcBorders>
              <w:top w:val="single" w:color="000000" w:sz="4" w:space="0"/>
              <w:left w:val="single" w:color="000000" w:sz="4" w:space="0"/>
              <w:right w:val="single" w:color="000000" w:sz="4" w:space="0"/>
            </w:tcBorders>
            <w:shd w:val="clear" w:color="auto" w:fill="FFFFFF"/>
            <w:vAlign w:val="center"/>
          </w:tcPr>
          <w:p>
            <w:pPr>
              <w:widowControl/>
              <w:jc w:val="center"/>
              <w:rPr>
                <w:rFonts w:ascii="宋体" w:hAnsi="宋体" w:cs="宋体"/>
                <w:kern w:val="0"/>
                <w:szCs w:val="21"/>
              </w:rPr>
            </w:pPr>
            <w:r>
              <w:rPr>
                <w:rFonts w:hint="eastAsia" w:ascii="宋体" w:hAnsi="宋体"/>
                <w:szCs w:val="21"/>
              </w:rPr>
              <w:t>1000000</w:t>
            </w:r>
            <w:r>
              <w:rPr>
                <w:rFonts w:ascii="宋体" w:hAnsi="宋体"/>
                <w:szCs w:val="21"/>
              </w:rPr>
              <w:t>23</w:t>
            </w:r>
          </w:p>
        </w:tc>
        <w:tc>
          <w:tcPr>
            <w:tcW w:w="2732" w:type="dxa"/>
            <w:tcBorders>
              <w:top w:val="single" w:color="000000" w:sz="4" w:space="0"/>
              <w:left w:val="single" w:color="000000" w:sz="4" w:space="0"/>
              <w:right w:val="single" w:color="000000" w:sz="2" w:space="0"/>
            </w:tcBorders>
            <w:shd w:val="clear" w:color="auto" w:fill="FFFFFF"/>
            <w:vAlign w:val="center"/>
          </w:tcPr>
          <w:p>
            <w:pPr>
              <w:spacing w:line="0" w:lineRule="atLeast"/>
              <w:jc w:val="center"/>
              <w:rPr>
                <w:rFonts w:ascii="宋体" w:hAnsi="宋体"/>
                <w:szCs w:val="21"/>
                <w:highlight w:val="none"/>
              </w:rPr>
            </w:pPr>
            <w:r>
              <w:rPr>
                <w:rFonts w:hint="eastAsia" w:ascii="宋体" w:hAnsi="宋体"/>
                <w:szCs w:val="21"/>
                <w:highlight w:val="none"/>
              </w:rPr>
              <w:t>高职计算机应用基础</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r>
              <w:rPr>
                <w:rFonts w:hint="eastAsia" w:ascii="宋体" w:hAnsi="宋体"/>
                <w:szCs w:val="21"/>
                <w:highlight w:val="none"/>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r>
              <w:rPr>
                <w:rFonts w:hint="eastAsia" w:ascii="宋体" w:hAnsi="宋体"/>
                <w:szCs w:val="21"/>
                <w:highlight w:val="none"/>
              </w:rPr>
              <w:t>3</w:t>
            </w:r>
            <w:r>
              <w:rPr>
                <w:rFonts w:ascii="宋体" w:hAnsi="宋体"/>
                <w:szCs w:val="21"/>
                <w:highlight w:val="none"/>
              </w:rPr>
              <w:t>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r>
              <w:rPr>
                <w:rFonts w:ascii="宋体" w:hAnsi="宋体"/>
                <w:szCs w:val="21"/>
                <w:highlight w:val="none"/>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highlight w:val="none"/>
                <w:lang w:val="en-US" w:eastAsia="zh-CN"/>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271"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right w:val="single" w:color="000000" w:sz="4" w:space="0"/>
            </w:tcBorders>
            <w:shd w:val="clear" w:color="auto" w:fill="FFFFFF"/>
            <w:vAlign w:val="center"/>
          </w:tcPr>
          <w:p>
            <w:pPr>
              <w:widowControl/>
              <w:jc w:val="center"/>
              <w:rPr>
                <w:rFonts w:ascii="宋体" w:hAnsi="宋体" w:cs="宋体"/>
                <w:kern w:val="0"/>
                <w:szCs w:val="21"/>
              </w:rPr>
            </w:pPr>
            <w:r>
              <w:rPr>
                <w:rFonts w:hint="eastAsia" w:ascii="宋体" w:hAnsi="宋体"/>
                <w:szCs w:val="21"/>
              </w:rPr>
              <w:t>1000000</w:t>
            </w:r>
            <w:r>
              <w:rPr>
                <w:rFonts w:ascii="宋体" w:hAnsi="宋体"/>
                <w:szCs w:val="21"/>
              </w:rPr>
              <w:t>24</w:t>
            </w:r>
          </w:p>
        </w:tc>
        <w:tc>
          <w:tcPr>
            <w:tcW w:w="2732" w:type="dxa"/>
            <w:tcBorders>
              <w:top w:val="single" w:color="000000" w:sz="4" w:space="0"/>
              <w:left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hint="eastAsia" w:ascii="宋体" w:hAnsi="宋体"/>
                <w:szCs w:val="21"/>
              </w:rPr>
              <w:t>高职语文</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3</w:t>
            </w:r>
            <w:r>
              <w:rPr>
                <w:rFonts w:ascii="宋体" w:hAnsi="宋体"/>
                <w:szCs w:val="21"/>
              </w:rPr>
              <w:t>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ascii="宋体" w:hAnsi="宋体"/>
                <w:szCs w:val="21"/>
              </w:rPr>
              <w:t>6</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lang w:val="en-US" w:eastAsia="zh-CN"/>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35"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宋体" w:hAnsi="宋体"/>
                <w:szCs w:val="21"/>
              </w:rPr>
            </w:pPr>
            <w:r>
              <w:rPr>
                <w:rFonts w:ascii="宋体" w:hAnsi="宋体"/>
                <w:szCs w:val="21"/>
              </w:rPr>
              <w:t>100000050</w:t>
            </w:r>
          </w:p>
        </w:tc>
        <w:tc>
          <w:tcPr>
            <w:tcW w:w="2732" w:type="dxa"/>
            <w:tcBorders>
              <w:top w:val="single" w:color="000000" w:sz="4" w:space="0"/>
              <w:left w:val="single" w:color="auto" w:sz="4" w:space="0"/>
              <w:bottom w:val="single" w:color="000000" w:sz="4" w:space="0"/>
              <w:right w:val="single" w:color="000000" w:sz="2" w:space="0"/>
            </w:tcBorders>
            <w:shd w:val="clear" w:color="auto" w:fill="FFFFFF"/>
            <w:vAlign w:val="center"/>
          </w:tcPr>
          <w:p>
            <w:pPr>
              <w:spacing w:line="0" w:lineRule="atLeast"/>
              <w:jc w:val="center"/>
              <w:rPr>
                <w:rFonts w:hint="default" w:ascii="宋体" w:hAnsi="宋体" w:eastAsia="宋体"/>
                <w:szCs w:val="21"/>
                <w:highlight w:val="none"/>
                <w:lang w:val="en-US" w:eastAsia="zh-CN"/>
              </w:rPr>
            </w:pPr>
            <w:r>
              <w:rPr>
                <w:rFonts w:hint="eastAsia" w:ascii="宋体" w:hAnsi="宋体"/>
                <w:color w:val="000000"/>
                <w:szCs w:val="21"/>
                <w:highlight w:val="none"/>
              </w:rPr>
              <w:t>高职英语（Ⅰ）</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32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8</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29"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宋体" w:hAnsi="宋体"/>
                <w:szCs w:val="21"/>
              </w:rPr>
            </w:pPr>
            <w:r>
              <w:rPr>
                <w:rFonts w:ascii="宋体" w:hAnsi="宋体"/>
                <w:szCs w:val="21"/>
              </w:rPr>
              <w:t>100000051</w:t>
            </w:r>
          </w:p>
        </w:tc>
        <w:tc>
          <w:tcPr>
            <w:tcW w:w="2732" w:type="dxa"/>
            <w:tcBorders>
              <w:top w:val="single" w:color="000000" w:sz="4" w:space="0"/>
              <w:left w:val="single" w:color="auto" w:sz="4" w:space="0"/>
              <w:bottom w:val="single" w:color="000000" w:sz="4" w:space="0"/>
              <w:right w:val="single" w:color="000000" w:sz="2" w:space="0"/>
            </w:tcBorders>
            <w:shd w:val="clear" w:color="auto" w:fill="FFFFFF"/>
            <w:vAlign w:val="center"/>
          </w:tcPr>
          <w:p>
            <w:pPr>
              <w:spacing w:line="0" w:lineRule="atLeast"/>
              <w:jc w:val="center"/>
              <w:rPr>
                <w:rFonts w:ascii="宋体" w:hAnsi="宋体"/>
                <w:color w:val="auto"/>
                <w:szCs w:val="21"/>
                <w:highlight w:val="none"/>
              </w:rPr>
            </w:pPr>
            <w:r>
              <w:rPr>
                <w:rFonts w:hint="eastAsia" w:ascii="宋体" w:hAnsi="宋体"/>
                <w:color w:val="auto"/>
                <w:szCs w:val="21"/>
                <w:highlight w:val="none"/>
                <w:lang w:val="en-US" w:eastAsia="zh-CN"/>
              </w:rPr>
              <w:t>高职</w:t>
            </w:r>
            <w:r>
              <w:rPr>
                <w:rFonts w:hint="eastAsia" w:ascii="宋体" w:hAnsi="宋体"/>
                <w:color w:val="auto"/>
                <w:szCs w:val="21"/>
                <w:highlight w:val="none"/>
              </w:rPr>
              <w:t>英语（Ⅱ）</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r>
              <w:rPr>
                <w:rFonts w:hint="eastAsia" w:ascii="宋体" w:hAnsi="宋体"/>
                <w:szCs w:val="21"/>
                <w:highlight w:val="none"/>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r>
              <w:rPr>
                <w:rFonts w:hint="eastAsia" w:ascii="宋体" w:hAnsi="宋体"/>
                <w:szCs w:val="21"/>
                <w:highlight w:val="none"/>
              </w:rPr>
              <w:t>32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8</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highlight w:val="none"/>
              </w:rPr>
            </w:pPr>
            <w:r>
              <w:rPr>
                <w:rFonts w:hint="eastAsia" w:ascii="宋体" w:hAnsi="宋体"/>
                <w:szCs w:val="21"/>
                <w:highlight w:val="none"/>
              </w:rPr>
              <w:t>2</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rPr>
                <w:snapToGrid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31"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240" w:lineRule="atLeast"/>
              <w:jc w:val="center"/>
              <w:rPr>
                <w:rFonts w:ascii="宋体" w:hAnsi="宋体"/>
                <w:szCs w:val="21"/>
              </w:rPr>
            </w:pPr>
            <w:r>
              <w:rPr>
                <w:rFonts w:ascii="宋体" w:hAnsi="宋体"/>
                <w:szCs w:val="21"/>
              </w:rPr>
              <w:t>100000022</w:t>
            </w:r>
          </w:p>
        </w:tc>
        <w:tc>
          <w:tcPr>
            <w:tcW w:w="2732" w:type="dxa"/>
            <w:tcBorders>
              <w:top w:val="single" w:color="000000" w:sz="4" w:space="0"/>
              <w:left w:val="single" w:color="auto" w:sz="4" w:space="0"/>
              <w:bottom w:val="single" w:color="000000" w:sz="4" w:space="0"/>
              <w:right w:val="single" w:color="000000" w:sz="2" w:space="0"/>
            </w:tcBorders>
            <w:shd w:val="clear" w:color="auto" w:fill="FFFFFF"/>
            <w:vAlign w:val="center"/>
          </w:tcPr>
          <w:p>
            <w:pPr>
              <w:spacing w:line="240" w:lineRule="atLeast"/>
              <w:jc w:val="center"/>
              <w:rPr>
                <w:rFonts w:ascii="宋体" w:hAnsi="宋体"/>
                <w:color w:val="auto"/>
                <w:szCs w:val="21"/>
              </w:rPr>
            </w:pPr>
            <w:r>
              <w:rPr>
                <w:rFonts w:hint="eastAsia" w:ascii="宋体" w:hAnsi="宋体"/>
                <w:color w:val="auto"/>
                <w:szCs w:val="21"/>
              </w:rPr>
              <w:t>高职数学</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32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0</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rPr>
                <w:snapToGrid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1202"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right w:val="single" w:color="000000" w:sz="4" w:space="0"/>
            </w:tcBorders>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1000000</w:t>
            </w:r>
            <w:r>
              <w:rPr>
                <w:rFonts w:ascii="宋体" w:hAnsi="宋体" w:cs="宋体"/>
                <w:kern w:val="0"/>
                <w:szCs w:val="21"/>
              </w:rPr>
              <w:t>31</w:t>
            </w:r>
          </w:p>
        </w:tc>
        <w:tc>
          <w:tcPr>
            <w:tcW w:w="2732" w:type="dxa"/>
            <w:tcBorders>
              <w:top w:val="single" w:color="000000" w:sz="4" w:space="0"/>
              <w:left w:val="single" w:color="000000" w:sz="4" w:space="0"/>
              <w:bottom w:val="single" w:color="000000" w:sz="4" w:space="0"/>
              <w:right w:val="single" w:color="000000" w:sz="2" w:space="0"/>
            </w:tcBorders>
            <w:shd w:val="clear" w:color="auto" w:fill="FFFFFF"/>
            <w:vAlign w:val="center"/>
          </w:tcPr>
          <w:p>
            <w:pPr>
              <w:spacing w:line="0" w:lineRule="atLeast"/>
              <w:jc w:val="center"/>
              <w:rPr>
                <w:rFonts w:ascii="宋体" w:hAnsi="宋体"/>
                <w:szCs w:val="21"/>
              </w:rPr>
            </w:pPr>
            <w:r>
              <w:rPr>
                <w:rFonts w:ascii="宋体" w:hAnsi="宋体"/>
                <w:szCs w:val="21"/>
              </w:rPr>
              <w:t>劳动、社团、公益活动等</w:t>
            </w:r>
          </w:p>
          <w:p>
            <w:pPr>
              <w:spacing w:line="0" w:lineRule="atLeast"/>
              <w:jc w:val="center"/>
              <w:rPr>
                <w:rFonts w:ascii="宋体" w:hAnsi="宋体"/>
                <w:szCs w:val="21"/>
              </w:rPr>
            </w:pP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rPr>
                <w:snapToGrid w:val="0"/>
                <w:sz w:val="18"/>
                <w:szCs w:val="18"/>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rPr>
                <w:snapToGrid w:val="0"/>
                <w:sz w:val="18"/>
                <w:szCs w:val="18"/>
              </w:rPr>
            </w:pPr>
            <w:r>
              <w:rPr>
                <w:rFonts w:hint="eastAsia"/>
                <w:snapToGrid w:val="0"/>
                <w:sz w:val="18"/>
                <w:szCs w:val="18"/>
              </w:rPr>
              <w:t>限选课。至少</w:t>
            </w:r>
            <w:r>
              <w:rPr>
                <w:snapToGrid w:val="0"/>
                <w:sz w:val="18"/>
                <w:szCs w:val="18"/>
              </w:rPr>
              <w:t>获得</w:t>
            </w:r>
            <w:r>
              <w:rPr>
                <w:rFonts w:hint="eastAsia"/>
                <w:snapToGrid w:val="0"/>
                <w:sz w:val="18"/>
                <w:szCs w:val="18"/>
              </w:rPr>
              <w:t>2学</w:t>
            </w:r>
            <w:r>
              <w:rPr>
                <w:snapToGrid w:val="0"/>
                <w:sz w:val="18"/>
                <w:szCs w:val="18"/>
              </w:rPr>
              <w:t>分。</w:t>
            </w:r>
            <w:r>
              <w:rPr>
                <w:rFonts w:hint="eastAsia"/>
                <w:snapToGrid w:val="0"/>
                <w:sz w:val="18"/>
                <w:szCs w:val="18"/>
              </w:rPr>
              <w:t>具体由学生处（团委）负责制订实施细则，协同各二级教学单位组织实施、学分认定工作。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91"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107" w:type="dxa"/>
            <w:gridSpan w:val="2"/>
            <w:tcBorders>
              <w:top w:val="single" w:color="000000" w:sz="4" w:space="0"/>
              <w:left w:val="single" w:color="000000" w:sz="4" w:space="0"/>
              <w:right w:val="single" w:color="000000" w:sz="4" w:space="0"/>
            </w:tcBorders>
            <w:shd w:val="clear" w:color="auto" w:fill="FFFFFF"/>
            <w:vAlign w:val="center"/>
          </w:tcPr>
          <w:p>
            <w:pPr>
              <w:widowControl/>
              <w:jc w:val="center"/>
              <w:rPr>
                <w:rFonts w:ascii="宋体" w:hAnsi="宋体" w:cs="宋体"/>
                <w:kern w:val="0"/>
                <w:szCs w:val="21"/>
              </w:rPr>
            </w:pPr>
          </w:p>
        </w:tc>
        <w:tc>
          <w:tcPr>
            <w:tcW w:w="2732" w:type="dxa"/>
            <w:tcBorders>
              <w:top w:val="single" w:color="000000" w:sz="4" w:space="0"/>
              <w:left w:val="single" w:color="000000" w:sz="4" w:space="0"/>
              <w:right w:val="single" w:color="000000" w:sz="2" w:space="0"/>
            </w:tcBorders>
            <w:shd w:val="clear" w:color="auto" w:fill="FFFFFF"/>
            <w:vAlign w:val="center"/>
          </w:tcPr>
          <w:p>
            <w:pPr>
              <w:widowControl/>
              <w:jc w:val="center"/>
              <w:rPr>
                <w:rFonts w:ascii="宋体" w:hAnsi="宋体"/>
                <w:szCs w:val="21"/>
              </w:rPr>
            </w:pPr>
            <w:r>
              <w:rPr>
                <w:rFonts w:hint="eastAsia" w:ascii="宋体" w:hAnsi="宋体"/>
                <w:szCs w:val="21"/>
              </w:rPr>
              <w:t>全校性选修课</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ascii="宋体" w:hAnsi="宋体"/>
                <w:szCs w:val="21"/>
              </w:rPr>
              <w:t>10</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ascii="宋体" w:hAnsi="宋体"/>
                <w:szCs w:val="21"/>
              </w:rPr>
              <w:t>160</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ascii="宋体" w:hAnsi="宋体"/>
                <w:szCs w:val="21"/>
              </w:rPr>
              <w:t>2</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ascii="宋体" w:hAnsi="宋体"/>
                <w:szCs w:val="21"/>
              </w:rPr>
              <w:t>2</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(2)</w:t>
            </w: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00" w:lineRule="exact"/>
              <w:jc w:val="left"/>
              <w:rPr>
                <w:rFonts w:ascii="宋体" w:hAnsi="宋体"/>
                <w:sz w:val="18"/>
                <w:szCs w:val="18"/>
              </w:rPr>
            </w:pPr>
            <w:r>
              <w:rPr>
                <w:rFonts w:hint="eastAsia" w:ascii="Calibri" w:hAnsi="Calibri"/>
                <w:snapToGrid w:val="0"/>
                <w:sz w:val="18"/>
                <w:szCs w:val="18"/>
              </w:rPr>
              <w:t>课程详见基础部选修课一览表；要求选足1</w:t>
            </w:r>
            <w:r>
              <w:rPr>
                <w:rFonts w:ascii="Calibri" w:hAnsi="Calibri"/>
                <w:snapToGrid w:val="0"/>
                <w:sz w:val="18"/>
                <w:szCs w:val="18"/>
              </w:rPr>
              <w:t>0</w:t>
            </w:r>
            <w:r>
              <w:rPr>
                <w:rFonts w:hint="eastAsia" w:ascii="Calibri" w:hAnsi="Calibri"/>
                <w:snapToGrid w:val="0"/>
                <w:sz w:val="18"/>
                <w:szCs w:val="18"/>
              </w:rPr>
              <w:t>学分。</w:t>
            </w:r>
            <w:r>
              <w:rPr>
                <w:rFonts w:hint="eastAsia"/>
                <w:snapToGrid w:val="0"/>
                <w:sz w:val="18"/>
                <w:szCs w:val="18"/>
              </w:rPr>
              <w:t>其中，创新创业类课程不少于</w:t>
            </w:r>
            <w:r>
              <w:rPr>
                <w:snapToGrid w:val="0"/>
                <w:sz w:val="18"/>
                <w:szCs w:val="18"/>
              </w:rPr>
              <w:t>2</w:t>
            </w:r>
            <w:r>
              <w:rPr>
                <w:rFonts w:hint="eastAsia"/>
                <w:snapToGrid w:val="0"/>
                <w:sz w:val="18"/>
                <w:szCs w:val="18"/>
              </w:rPr>
              <w:t>学分，</w:t>
            </w:r>
            <w:r>
              <w:rPr>
                <w:rFonts w:hint="eastAsia"/>
                <w:sz w:val="18"/>
                <w:szCs w:val="18"/>
              </w:rPr>
              <w:t>人文</w:t>
            </w:r>
            <w:r>
              <w:rPr>
                <w:sz w:val="18"/>
                <w:szCs w:val="18"/>
              </w:rPr>
              <w:t>美育</w:t>
            </w:r>
            <w:r>
              <w:rPr>
                <w:rFonts w:hint="eastAsia"/>
                <w:sz w:val="18"/>
                <w:szCs w:val="18"/>
              </w:rPr>
              <w:t>类不低于2学分</w:t>
            </w:r>
            <w:r>
              <w:rPr>
                <w:rFonts w:hint="eastAsia"/>
                <w:snapToGrid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09" w:hRule="exact"/>
          <w:jc w:val="center"/>
        </w:trPr>
        <w:tc>
          <w:tcPr>
            <w:tcW w:w="385"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Cs w:val="21"/>
              </w:rPr>
            </w:pPr>
          </w:p>
        </w:tc>
        <w:tc>
          <w:tcPr>
            <w:tcW w:w="4839" w:type="dxa"/>
            <w:gridSpan w:val="3"/>
            <w:tcBorders>
              <w:top w:val="single" w:color="000000" w:sz="4" w:space="0"/>
              <w:left w:val="single" w:color="000000" w:sz="4" w:space="0"/>
              <w:bottom w:val="single" w:color="000000" w:sz="4" w:space="0"/>
              <w:right w:val="single" w:color="000000" w:sz="2" w:space="0"/>
            </w:tcBorders>
            <w:shd w:val="clear" w:color="auto" w:fill="BEBEBE"/>
            <w:vAlign w:val="center"/>
          </w:tcPr>
          <w:p>
            <w:pPr>
              <w:spacing w:line="0" w:lineRule="atLeast"/>
              <w:jc w:val="center"/>
              <w:rPr>
                <w:rFonts w:ascii="宋体" w:hAnsi="宋体"/>
                <w:szCs w:val="21"/>
              </w:rPr>
            </w:pPr>
            <w:r>
              <w:rPr>
                <w:rFonts w:hint="eastAsia" w:ascii="宋体" w:hAnsi="宋体"/>
                <w:b/>
                <w:bCs/>
                <w:szCs w:val="21"/>
              </w:rPr>
              <w:t>公共基础选修课小计</w:t>
            </w:r>
          </w:p>
        </w:tc>
        <w:tc>
          <w:tcPr>
            <w:tcW w:w="582" w:type="dxa"/>
            <w:tcBorders>
              <w:top w:val="single" w:color="000000" w:sz="4" w:space="0"/>
              <w:left w:val="single" w:color="000000" w:sz="12"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szCs w:val="21"/>
                <w:lang w:val="en-US" w:eastAsia="zh-CN"/>
              </w:rPr>
            </w:pPr>
            <w:r>
              <w:rPr>
                <w:rFonts w:hint="eastAsia" w:ascii="宋体" w:hAnsi="宋体"/>
                <w:b/>
                <w:bCs/>
                <w:szCs w:val="21"/>
                <w:lang w:val="en-US" w:eastAsia="zh-CN"/>
              </w:rPr>
              <w:t>22</w:t>
            </w:r>
          </w:p>
        </w:tc>
        <w:tc>
          <w:tcPr>
            <w:tcW w:w="711" w:type="dxa"/>
            <w:tcBorders>
              <w:top w:val="single" w:color="000000" w:sz="4" w:space="0"/>
              <w:left w:val="single" w:color="000000" w:sz="12"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szCs w:val="21"/>
                <w:lang w:val="en-US" w:eastAsia="zh-CN"/>
              </w:rPr>
            </w:pPr>
            <w:r>
              <w:rPr>
                <w:rFonts w:hint="eastAsia" w:ascii="宋体" w:hAnsi="宋体"/>
                <w:b/>
                <w:bCs/>
                <w:szCs w:val="21"/>
                <w:lang w:val="en-US" w:eastAsia="zh-CN"/>
              </w:rPr>
              <w:t>320</w:t>
            </w:r>
          </w:p>
        </w:tc>
        <w:tc>
          <w:tcPr>
            <w:tcW w:w="7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szCs w:val="21"/>
                <w:lang w:val="en-US" w:eastAsia="zh-CN"/>
              </w:rPr>
            </w:pPr>
            <w:r>
              <w:rPr>
                <w:rFonts w:hint="eastAsia" w:ascii="宋体" w:hAnsi="宋体"/>
                <w:b/>
                <w:bCs/>
                <w:szCs w:val="21"/>
                <w:lang w:val="en-US" w:eastAsia="zh-CN"/>
              </w:rPr>
              <w:t>42</w:t>
            </w:r>
          </w:p>
        </w:tc>
        <w:tc>
          <w:tcPr>
            <w:tcW w:w="76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szCs w:val="21"/>
                <w:lang w:val="en-US" w:eastAsia="zh-CN"/>
              </w:rPr>
            </w:pPr>
            <w:r>
              <w:rPr>
                <w:rFonts w:hint="eastAsia" w:ascii="宋体" w:hAnsi="宋体"/>
                <w:b/>
                <w:bCs/>
                <w:szCs w:val="21"/>
                <w:lang w:val="en-US" w:eastAsia="zh-CN"/>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hint="eastAsia" w:ascii="宋体" w:hAnsi="宋体" w:eastAsia="宋体"/>
                <w:b/>
                <w:bCs/>
                <w:szCs w:val="21"/>
                <w:lang w:eastAsia="zh-CN"/>
              </w:rPr>
            </w:pPr>
            <w:r>
              <w:rPr>
                <w:rFonts w:hint="eastAsia" w:ascii="宋体" w:hAnsi="宋体"/>
                <w:b/>
                <w:bCs/>
                <w:szCs w:val="21"/>
                <w:lang w:val="en-US" w:eastAsia="zh-CN"/>
              </w:rPr>
              <w:t>4</w:t>
            </w:r>
          </w:p>
        </w:tc>
        <w:tc>
          <w:tcPr>
            <w:tcW w:w="74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ind w:firstLine="211" w:firstLineChars="100"/>
              <w:rPr>
                <w:rFonts w:ascii="宋体" w:hAnsi="宋体"/>
                <w:b/>
                <w:bCs/>
                <w:szCs w:val="21"/>
              </w:rPr>
            </w:pPr>
            <w:r>
              <w:rPr>
                <w:rFonts w:hint="eastAsia" w:ascii="宋体" w:hAnsi="宋体"/>
                <w:b/>
                <w:bCs/>
                <w:szCs w:val="21"/>
              </w:rPr>
              <w:t>2</w:t>
            </w:r>
          </w:p>
        </w:tc>
        <w:tc>
          <w:tcPr>
            <w:tcW w:w="80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hint="eastAsia" w:ascii="宋体" w:hAnsi="宋体" w:eastAsia="宋体"/>
                <w:b/>
                <w:bCs/>
                <w:szCs w:val="21"/>
                <w:lang w:eastAsia="zh-CN"/>
              </w:rPr>
            </w:pPr>
            <w:r>
              <w:rPr>
                <w:rFonts w:hint="eastAsia" w:ascii="宋体" w:hAnsi="宋体"/>
                <w:b/>
                <w:bCs/>
                <w:szCs w:val="21"/>
                <w:lang w:val="en-US" w:eastAsia="zh-CN"/>
              </w:rPr>
              <w:t>2</w:t>
            </w:r>
          </w:p>
        </w:tc>
        <w:tc>
          <w:tcPr>
            <w:tcW w:w="63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63" w:hRule="exact"/>
          <w:jc w:val="center"/>
        </w:trPr>
        <w:tc>
          <w:tcPr>
            <w:tcW w:w="385" w:type="dxa"/>
            <w:vMerge w:val="continue"/>
            <w:tcBorders>
              <w:left w:val="single" w:color="000000" w:sz="4" w:space="0"/>
              <w:bottom w:val="single" w:color="auto" w:sz="4" w:space="0"/>
              <w:right w:val="single" w:color="000000" w:sz="4" w:space="0"/>
            </w:tcBorders>
            <w:shd w:val="clear" w:color="auto" w:fill="FFFFFF"/>
            <w:vAlign w:val="center"/>
          </w:tcPr>
          <w:p>
            <w:pPr>
              <w:widowControl/>
              <w:jc w:val="center"/>
              <w:rPr>
                <w:rFonts w:ascii="宋体" w:hAnsi="宋体"/>
                <w:szCs w:val="21"/>
              </w:rPr>
            </w:pPr>
          </w:p>
        </w:tc>
        <w:tc>
          <w:tcPr>
            <w:tcW w:w="5289" w:type="dxa"/>
            <w:gridSpan w:val="4"/>
            <w:tcBorders>
              <w:top w:val="single" w:color="000000" w:sz="4" w:space="0"/>
              <w:left w:val="single" w:color="000000" w:sz="4" w:space="0"/>
              <w:bottom w:val="single" w:color="auto" w:sz="4" w:space="0"/>
              <w:right w:val="single" w:color="000000" w:sz="2" w:space="0"/>
            </w:tcBorders>
            <w:shd w:val="clear" w:color="auto" w:fill="BEBEBE"/>
            <w:vAlign w:val="center"/>
          </w:tcPr>
          <w:p>
            <w:pPr>
              <w:spacing w:line="0" w:lineRule="atLeast"/>
              <w:jc w:val="center"/>
              <w:rPr>
                <w:rFonts w:ascii="宋体" w:hAnsi="宋体"/>
                <w:szCs w:val="21"/>
              </w:rPr>
            </w:pPr>
            <w:r>
              <w:rPr>
                <w:rFonts w:hint="eastAsia" w:ascii="宋体" w:hAnsi="宋体"/>
                <w:b/>
                <w:bCs/>
                <w:szCs w:val="21"/>
              </w:rPr>
              <w:t>公共基础课合计</w:t>
            </w:r>
          </w:p>
        </w:tc>
        <w:tc>
          <w:tcPr>
            <w:tcW w:w="582" w:type="dxa"/>
            <w:tcBorders>
              <w:top w:val="single" w:color="000000" w:sz="4" w:space="0"/>
              <w:left w:val="single" w:color="000000" w:sz="12" w:space="0"/>
              <w:bottom w:val="single" w:color="000000" w:sz="4" w:space="0"/>
              <w:right w:val="single" w:color="000000" w:sz="4" w:space="0"/>
            </w:tcBorders>
            <w:shd w:val="clear" w:color="auto" w:fill="BEBEBE"/>
            <w:vAlign w:val="center"/>
          </w:tcPr>
          <w:p>
            <w:pPr>
              <w:spacing w:line="0" w:lineRule="atLeast"/>
              <w:jc w:val="center"/>
              <w:rPr>
                <w:rFonts w:hint="eastAsia" w:ascii="宋体" w:hAnsi="宋体" w:eastAsia="宋体"/>
                <w:b/>
                <w:bCs/>
                <w:color w:val="auto"/>
                <w:szCs w:val="21"/>
                <w:lang w:eastAsia="zh-CN"/>
              </w:rPr>
            </w:pPr>
            <w:r>
              <w:rPr>
                <w:rFonts w:hint="eastAsia" w:ascii="宋体" w:hAnsi="宋体"/>
                <w:b/>
                <w:bCs/>
                <w:color w:val="auto"/>
                <w:szCs w:val="21"/>
              </w:rPr>
              <w:t>4</w:t>
            </w:r>
            <w:r>
              <w:rPr>
                <w:rFonts w:hint="eastAsia" w:ascii="宋体" w:hAnsi="宋体"/>
                <w:b/>
                <w:bCs/>
                <w:color w:val="auto"/>
                <w:szCs w:val="21"/>
                <w:lang w:val="en-US" w:eastAsia="zh-CN"/>
              </w:rPr>
              <w:t>9</w:t>
            </w:r>
          </w:p>
        </w:tc>
        <w:tc>
          <w:tcPr>
            <w:tcW w:w="711" w:type="dxa"/>
            <w:tcBorders>
              <w:top w:val="single" w:color="000000" w:sz="4" w:space="0"/>
              <w:left w:val="single" w:color="000000" w:sz="12"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color w:val="auto"/>
                <w:szCs w:val="21"/>
                <w:lang w:val="en-US" w:eastAsia="zh-CN"/>
              </w:rPr>
            </w:pPr>
            <w:r>
              <w:rPr>
                <w:rFonts w:hint="eastAsia" w:ascii="宋体" w:hAnsi="宋体"/>
                <w:b/>
                <w:bCs/>
                <w:color w:val="auto"/>
                <w:szCs w:val="21"/>
              </w:rPr>
              <w:t>7</w:t>
            </w:r>
            <w:r>
              <w:rPr>
                <w:rFonts w:hint="eastAsia" w:ascii="宋体" w:hAnsi="宋体"/>
                <w:b/>
                <w:bCs/>
                <w:color w:val="auto"/>
                <w:szCs w:val="21"/>
                <w:lang w:val="en-US" w:eastAsia="zh-CN"/>
              </w:rPr>
              <w:t>42</w:t>
            </w:r>
          </w:p>
        </w:tc>
        <w:tc>
          <w:tcPr>
            <w:tcW w:w="7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eastAsia="宋体"/>
                <w:b/>
                <w:bCs/>
                <w:color w:val="auto"/>
                <w:szCs w:val="21"/>
                <w:lang w:val="en-US" w:eastAsia="zh-CN"/>
              </w:rPr>
            </w:pPr>
            <w:r>
              <w:rPr>
                <w:rFonts w:hint="eastAsia" w:ascii="宋体" w:hAnsi="宋体"/>
                <w:b/>
                <w:bCs/>
                <w:color w:val="auto"/>
                <w:szCs w:val="21"/>
                <w:lang w:val="en-US" w:eastAsia="zh-CN"/>
              </w:rPr>
              <w:t>190</w:t>
            </w:r>
          </w:p>
        </w:tc>
        <w:tc>
          <w:tcPr>
            <w:tcW w:w="76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b/>
                <w:bCs/>
                <w:color w:val="auto"/>
                <w:szCs w:val="21"/>
                <w:lang w:val="en-US"/>
              </w:rPr>
            </w:pPr>
            <w:r>
              <w:rPr>
                <w:rFonts w:hint="eastAsia" w:ascii="宋体" w:hAnsi="宋体"/>
                <w:b/>
                <w:bCs/>
                <w:color w:val="auto"/>
                <w:szCs w:val="21"/>
              </w:rPr>
              <w:t>1</w:t>
            </w:r>
            <w:r>
              <w:rPr>
                <w:rFonts w:hint="eastAsia" w:ascii="宋体" w:hAnsi="宋体"/>
                <w:b/>
                <w:bCs/>
                <w:color w:val="auto"/>
                <w:szCs w:val="21"/>
                <w:lang w:val="en-US" w:eastAsia="zh-CN"/>
              </w:rPr>
              <w:t>6.5</w:t>
            </w:r>
          </w:p>
        </w:tc>
        <w:tc>
          <w:tcPr>
            <w:tcW w:w="813"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hint="default" w:ascii="宋体" w:hAnsi="宋体"/>
                <w:b/>
                <w:bCs/>
                <w:color w:val="auto"/>
                <w:szCs w:val="21"/>
                <w:lang w:val="en-US"/>
              </w:rPr>
            </w:pPr>
            <w:r>
              <w:rPr>
                <w:rFonts w:hint="eastAsia" w:ascii="宋体" w:hAnsi="宋体"/>
                <w:b/>
                <w:bCs/>
                <w:color w:val="auto"/>
                <w:szCs w:val="21"/>
                <w:lang w:val="en-US" w:eastAsia="zh-CN"/>
              </w:rPr>
              <w:t>11.5</w:t>
            </w:r>
          </w:p>
        </w:tc>
        <w:tc>
          <w:tcPr>
            <w:tcW w:w="747"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2.5</w:t>
            </w:r>
          </w:p>
        </w:tc>
        <w:tc>
          <w:tcPr>
            <w:tcW w:w="80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lang w:val="en-US" w:eastAsia="zh-CN"/>
              </w:rPr>
              <w:t>4</w:t>
            </w:r>
            <w:r>
              <w:rPr>
                <w:rFonts w:hint="eastAsia" w:ascii="宋体" w:hAnsi="宋体"/>
                <w:b/>
                <w:bCs/>
                <w:szCs w:val="21"/>
              </w:rPr>
              <w:t>.5</w:t>
            </w:r>
          </w:p>
        </w:tc>
        <w:tc>
          <w:tcPr>
            <w:tcW w:w="63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19" w:hRule="exact"/>
          <w:jc w:val="center"/>
        </w:trPr>
        <w:tc>
          <w:tcPr>
            <w:tcW w:w="385" w:type="dxa"/>
            <w:vMerge w:val="restart"/>
            <w:tcBorders>
              <w:left w:val="single" w:color="auto" w:sz="4" w:space="0"/>
              <w:right w:val="single" w:color="000000" w:sz="4" w:space="0"/>
            </w:tcBorders>
            <w:shd w:val="clear" w:color="auto" w:fill="FFFFFF"/>
            <w:vAlign w:val="center"/>
          </w:tcPr>
          <w:p>
            <w:pPr>
              <w:widowControl/>
              <w:jc w:val="center"/>
              <w:rPr>
                <w:rFonts w:ascii="宋体" w:hAnsi="宋体"/>
                <w:szCs w:val="21"/>
              </w:rPr>
            </w:pPr>
            <w:r>
              <w:rPr>
                <w:rFonts w:hint="eastAsia" w:ascii="宋体" w:hAnsi="宋体"/>
                <w:szCs w:val="21"/>
              </w:rPr>
              <w:t>专业群平台课</w:t>
            </w:r>
          </w:p>
        </w:tc>
        <w:tc>
          <w:tcPr>
            <w:tcW w:w="450" w:type="dxa"/>
            <w:vMerge w:val="restart"/>
            <w:tcBorders>
              <w:top w:val="single" w:color="auto" w:sz="4" w:space="0"/>
              <w:left w:val="single" w:color="000000"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必</w:t>
            </w:r>
          </w:p>
          <w:p>
            <w:pPr>
              <w:jc w:val="center"/>
              <w:rPr>
                <w:rFonts w:ascii="宋体" w:hAnsi="宋体"/>
                <w:szCs w:val="21"/>
              </w:rPr>
            </w:pPr>
            <w:r>
              <w:rPr>
                <w:rFonts w:hint="eastAsia" w:ascii="宋体" w:hAnsi="宋体"/>
                <w:szCs w:val="21"/>
              </w:rPr>
              <w:t>修</w:t>
            </w:r>
          </w:p>
          <w:p>
            <w:pPr>
              <w:jc w:val="center"/>
              <w:rPr>
                <w:rFonts w:ascii="宋体" w:hAnsi="宋体"/>
                <w:szCs w:val="21"/>
              </w:rPr>
            </w:pPr>
            <w:r>
              <w:rPr>
                <w:rFonts w:hint="eastAsia" w:ascii="宋体" w:hAnsi="宋体"/>
                <w:szCs w:val="21"/>
              </w:rPr>
              <w:t>课</w:t>
            </w:r>
          </w:p>
        </w:tc>
        <w:tc>
          <w:tcPr>
            <w:tcW w:w="2107" w:type="dxa"/>
            <w:gridSpan w:val="2"/>
            <w:tcBorders>
              <w:top w:val="single" w:color="000000" w:sz="4" w:space="0"/>
              <w:left w:val="single" w:color="000000" w:sz="4" w:space="0"/>
              <w:bottom w:val="single" w:color="auto" w:sz="4" w:space="0"/>
              <w:right w:val="single" w:color="auto"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22</w:t>
            </w:r>
            <w:r>
              <w:rPr>
                <w:rFonts w:ascii="宋体" w:hAnsi="宋体"/>
                <w:szCs w:val="21"/>
              </w:rPr>
              <w:t>JGFY101</w:t>
            </w:r>
          </w:p>
        </w:tc>
        <w:tc>
          <w:tcPr>
            <w:tcW w:w="2732" w:type="dxa"/>
            <w:tcBorders>
              <w:top w:val="single" w:color="000000" w:sz="4" w:space="0"/>
              <w:left w:val="single" w:color="auto" w:sz="4" w:space="0"/>
              <w:bottom w:val="single" w:color="000000"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建筑材料</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3</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48</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12</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21" w:hRule="exac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22</w:t>
            </w:r>
            <w:r>
              <w:rPr>
                <w:rFonts w:ascii="宋体" w:hAnsi="宋体"/>
                <w:szCs w:val="21"/>
              </w:rPr>
              <w:t>GLFY102</w:t>
            </w:r>
          </w:p>
        </w:tc>
        <w:tc>
          <w:tcPr>
            <w:tcW w:w="2732" w:type="dxa"/>
            <w:tcBorders>
              <w:top w:val="single" w:color="000000" w:sz="4" w:space="0"/>
              <w:left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建筑</w:t>
            </w:r>
            <w:r>
              <w:rPr>
                <w:rFonts w:ascii="宋体" w:hAnsi="宋体"/>
                <w:szCs w:val="21"/>
              </w:rPr>
              <w:t>CAD</w:t>
            </w:r>
          </w:p>
        </w:tc>
        <w:tc>
          <w:tcPr>
            <w:tcW w:w="582" w:type="dxa"/>
            <w:tcBorders>
              <w:top w:val="single" w:color="000000" w:sz="4" w:space="0"/>
              <w:left w:val="single" w:color="000000" w:sz="12"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2</w:t>
            </w:r>
          </w:p>
        </w:tc>
        <w:tc>
          <w:tcPr>
            <w:tcW w:w="711" w:type="dxa"/>
            <w:tcBorders>
              <w:top w:val="single" w:color="000000" w:sz="4" w:space="0"/>
              <w:left w:val="single" w:color="000000" w:sz="12"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32</w:t>
            </w:r>
          </w:p>
        </w:tc>
        <w:tc>
          <w:tcPr>
            <w:tcW w:w="701" w:type="dxa"/>
            <w:tcBorders>
              <w:top w:val="single" w:color="000000" w:sz="4" w:space="0"/>
              <w:left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18</w:t>
            </w:r>
          </w:p>
        </w:tc>
        <w:tc>
          <w:tcPr>
            <w:tcW w:w="766" w:type="dxa"/>
            <w:tcBorders>
              <w:top w:val="single" w:color="000000" w:sz="4" w:space="0"/>
              <w:left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1W</w:t>
            </w:r>
          </w:p>
        </w:tc>
        <w:tc>
          <w:tcPr>
            <w:tcW w:w="813" w:type="dxa"/>
            <w:tcBorders>
              <w:top w:val="single" w:color="000000" w:sz="4" w:space="0"/>
              <w:left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000000" w:sz="4" w:space="0"/>
              <w:left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right w:val="single" w:color="000000" w:sz="4" w:space="0"/>
            </w:tcBorders>
            <w:shd w:val="clear" w:color="auto" w:fill="FFFFFF"/>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szCs w:val="21"/>
              </w:rPr>
            </w:pPr>
          </w:p>
        </w:tc>
        <w:tc>
          <w:tcPr>
            <w:tcW w:w="2282"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67" w:hRule="exac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22</w:t>
            </w:r>
            <w:r>
              <w:rPr>
                <w:rFonts w:ascii="宋体" w:hAnsi="宋体"/>
                <w:szCs w:val="21"/>
              </w:rPr>
              <w:t>JGFY103</w:t>
            </w:r>
          </w:p>
        </w:tc>
        <w:tc>
          <w:tcPr>
            <w:tcW w:w="2732" w:type="dxa"/>
            <w:tcBorders>
              <w:top w:val="single" w:color="000000" w:sz="4" w:space="0"/>
              <w:left w:val="single" w:color="auto" w:sz="4" w:space="0"/>
              <w:bottom w:val="single" w:color="000000" w:sz="4" w:space="0"/>
              <w:right w:val="single" w:color="000000" w:sz="2" w:space="0"/>
            </w:tcBorders>
            <w:shd w:val="clear" w:color="auto" w:fill="FFFFFF"/>
            <w:vAlign w:val="center"/>
          </w:tcPr>
          <w:p>
            <w:pPr>
              <w:spacing w:line="240" w:lineRule="atLeast"/>
              <w:jc w:val="center"/>
              <w:rPr>
                <w:rFonts w:ascii="宋体" w:hAnsi="宋体"/>
                <w:szCs w:val="21"/>
              </w:rPr>
            </w:pPr>
            <w:r>
              <w:rPr>
                <w:rFonts w:ascii="宋体" w:hAnsi="宋体"/>
                <w:szCs w:val="21"/>
              </w:rPr>
              <w:t>Revit</w:t>
            </w:r>
            <w:r>
              <w:rPr>
                <w:rFonts w:hint="eastAsia" w:ascii="宋体" w:hAnsi="宋体"/>
                <w:szCs w:val="21"/>
              </w:rPr>
              <w:t>建模</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2</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18</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1W</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500" w:hRule="exac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right w:val="single" w:color="auto"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22</w:t>
            </w:r>
            <w:r>
              <w:rPr>
                <w:rFonts w:ascii="宋体" w:hAnsi="宋体"/>
                <w:szCs w:val="21"/>
              </w:rPr>
              <w:t>GLFY104</w:t>
            </w:r>
          </w:p>
        </w:tc>
        <w:tc>
          <w:tcPr>
            <w:tcW w:w="2732" w:type="dxa"/>
            <w:tcBorders>
              <w:top w:val="single" w:color="000000" w:sz="4" w:space="0"/>
              <w:left w:val="single" w:color="auto" w:sz="4" w:space="0"/>
              <w:bottom w:val="single" w:color="000000"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工程建设法规与合同管理</w:t>
            </w:r>
          </w:p>
        </w:tc>
        <w:tc>
          <w:tcPr>
            <w:tcW w:w="58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w:t>
            </w:r>
          </w:p>
        </w:tc>
        <w:tc>
          <w:tcPr>
            <w:tcW w:w="71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64</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8</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50" w:hRule="exact"/>
          <w:jc w:val="center"/>
        </w:trPr>
        <w:tc>
          <w:tcPr>
            <w:tcW w:w="385" w:type="dxa"/>
            <w:vMerge w:val="continue"/>
            <w:tcBorders>
              <w:left w:val="single" w:color="auto" w:sz="4" w:space="0"/>
              <w:bottom w:val="single" w:color="auto" w:sz="4" w:space="0"/>
              <w:right w:val="single" w:color="000000" w:sz="4" w:space="0"/>
            </w:tcBorders>
            <w:shd w:val="clear" w:color="auto" w:fill="FFFFFF"/>
            <w:vAlign w:val="center"/>
          </w:tcPr>
          <w:p>
            <w:pPr>
              <w:widowControl/>
              <w:jc w:val="center"/>
              <w:rPr>
                <w:rFonts w:ascii="宋体" w:hAnsi="宋体"/>
                <w:szCs w:val="21"/>
              </w:rPr>
            </w:pPr>
          </w:p>
        </w:tc>
        <w:tc>
          <w:tcPr>
            <w:tcW w:w="5289" w:type="dxa"/>
            <w:gridSpan w:val="4"/>
            <w:tcBorders>
              <w:top w:val="single" w:color="auto" w:sz="4" w:space="0"/>
              <w:left w:val="single" w:color="000000" w:sz="4" w:space="0"/>
              <w:bottom w:val="single" w:color="auto" w:sz="4" w:space="0"/>
              <w:right w:val="single" w:color="000000" w:sz="2" w:space="0"/>
            </w:tcBorders>
            <w:shd w:val="clear" w:color="auto" w:fill="BEBEBE"/>
            <w:vAlign w:val="center"/>
          </w:tcPr>
          <w:p>
            <w:pPr>
              <w:spacing w:line="0" w:lineRule="atLeast"/>
              <w:jc w:val="center"/>
              <w:rPr>
                <w:rFonts w:ascii="宋体" w:hAnsi="宋体"/>
                <w:szCs w:val="21"/>
                <w:highlight w:val="lightGray"/>
              </w:rPr>
            </w:pPr>
            <w:r>
              <w:rPr>
                <w:rFonts w:hint="eastAsia" w:ascii="宋体" w:hAnsi="宋体"/>
                <w:b/>
                <w:bCs/>
                <w:szCs w:val="21"/>
              </w:rPr>
              <w:t>专业群平台课合计</w:t>
            </w:r>
          </w:p>
        </w:tc>
        <w:tc>
          <w:tcPr>
            <w:tcW w:w="582" w:type="dxa"/>
            <w:tcBorders>
              <w:top w:val="single" w:color="000000" w:sz="4" w:space="0"/>
              <w:left w:val="single" w:color="000000" w:sz="12"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r>
              <w:rPr>
                <w:rFonts w:hint="eastAsia" w:ascii="宋体" w:hAnsi="宋体"/>
                <w:b/>
                <w:bCs/>
                <w:szCs w:val="21"/>
              </w:rPr>
              <w:t>11</w:t>
            </w:r>
          </w:p>
        </w:tc>
        <w:tc>
          <w:tcPr>
            <w:tcW w:w="711" w:type="dxa"/>
            <w:tcBorders>
              <w:top w:val="single" w:color="000000" w:sz="4" w:space="0"/>
              <w:left w:val="single" w:color="000000" w:sz="12" w:space="0"/>
              <w:bottom w:val="single" w:color="000000" w:sz="4" w:space="0"/>
              <w:right w:val="single" w:color="000000" w:sz="4" w:space="0"/>
            </w:tcBorders>
            <w:shd w:val="clear" w:color="auto" w:fill="BEBEBE"/>
            <w:vAlign w:val="center"/>
          </w:tcPr>
          <w:p>
            <w:pPr>
              <w:jc w:val="center"/>
              <w:rPr>
                <w:rFonts w:ascii="宋体" w:hAnsi="宋体"/>
                <w:szCs w:val="21"/>
                <w:highlight w:val="lightGray"/>
              </w:rPr>
            </w:pPr>
            <w:r>
              <w:rPr>
                <w:rFonts w:hint="eastAsia" w:ascii="宋体" w:hAnsi="宋体"/>
                <w:b/>
                <w:szCs w:val="21"/>
              </w:rPr>
              <w:t>176</w:t>
            </w:r>
          </w:p>
        </w:tc>
        <w:tc>
          <w:tcPr>
            <w:tcW w:w="7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ascii="宋体" w:hAnsi="宋体"/>
                <w:szCs w:val="21"/>
              </w:rPr>
            </w:pPr>
            <w:r>
              <w:rPr>
                <w:rFonts w:hint="eastAsia" w:ascii="宋体" w:hAnsi="宋体"/>
                <w:b/>
                <w:szCs w:val="21"/>
              </w:rPr>
              <w:t>56</w:t>
            </w:r>
          </w:p>
        </w:tc>
        <w:tc>
          <w:tcPr>
            <w:tcW w:w="76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240" w:lineRule="atLeast"/>
              <w:ind w:right="90"/>
              <w:rPr>
                <w:rFonts w:ascii="宋体" w:hAnsi="宋体"/>
                <w:szCs w:val="21"/>
              </w:rPr>
            </w:pPr>
            <w:r>
              <w:rPr>
                <w:rFonts w:hint="eastAsia" w:ascii="宋体" w:hAnsi="宋体"/>
                <w:b/>
                <w:szCs w:val="21"/>
              </w:rPr>
              <w:t>4</w:t>
            </w:r>
            <w:r>
              <w:rPr>
                <w:rFonts w:ascii="宋体" w:hAnsi="宋体"/>
                <w:b/>
                <w:szCs w:val="21"/>
              </w:rPr>
              <w:t>+</w:t>
            </w:r>
            <w:r>
              <w:rPr>
                <w:rFonts w:hint="eastAsia" w:ascii="宋体" w:hAnsi="宋体"/>
                <w:b/>
                <w:szCs w:val="21"/>
              </w:rPr>
              <w:t>1</w:t>
            </w:r>
            <w:r>
              <w:rPr>
                <w:rFonts w:ascii="宋体" w:hAnsi="宋体"/>
                <w:b/>
                <w:szCs w:val="21"/>
              </w:rPr>
              <w:t>W</w:t>
            </w:r>
          </w:p>
        </w:tc>
        <w:tc>
          <w:tcPr>
            <w:tcW w:w="813" w:type="dxa"/>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ascii="宋体" w:hAnsi="宋体"/>
                <w:szCs w:val="21"/>
              </w:rPr>
            </w:pPr>
            <w:r>
              <w:rPr>
                <w:rFonts w:ascii="宋体" w:hAnsi="宋体"/>
                <w:b/>
                <w:szCs w:val="21"/>
              </w:rPr>
              <w:t>1W</w:t>
            </w:r>
          </w:p>
        </w:tc>
        <w:tc>
          <w:tcPr>
            <w:tcW w:w="747" w:type="dxa"/>
            <w:tcBorders>
              <w:top w:val="single" w:color="000000" w:sz="4" w:space="0"/>
              <w:left w:val="single" w:color="000000" w:sz="4" w:space="0"/>
              <w:bottom w:val="single" w:color="000000" w:sz="4" w:space="0"/>
              <w:right w:val="single" w:color="000000" w:sz="4" w:space="0"/>
            </w:tcBorders>
            <w:shd w:val="clear" w:color="auto" w:fill="BEBEBE"/>
            <w:vAlign w:val="center"/>
          </w:tcPr>
          <w:p>
            <w:pPr>
              <w:jc w:val="center"/>
              <w:rPr>
                <w:rFonts w:ascii="宋体" w:hAnsi="宋体"/>
                <w:szCs w:val="21"/>
              </w:rPr>
            </w:pPr>
            <w:r>
              <w:rPr>
                <w:rFonts w:ascii="宋体" w:hAnsi="宋体"/>
                <w:b/>
                <w:szCs w:val="21"/>
              </w:rPr>
              <w:t>4</w:t>
            </w:r>
          </w:p>
        </w:tc>
        <w:tc>
          <w:tcPr>
            <w:tcW w:w="80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c>
          <w:tcPr>
            <w:tcW w:w="63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iCs/>
                <w:sz w:val="18"/>
                <w:szCs w:val="18"/>
              </w:rPr>
            </w:pPr>
          </w:p>
        </w:tc>
        <w:tc>
          <w:tcPr>
            <w:tcW w:w="56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96" w:hRule="exact"/>
          <w:jc w:val="center"/>
        </w:trPr>
        <w:tc>
          <w:tcPr>
            <w:tcW w:w="385" w:type="dxa"/>
            <w:vMerge w:val="restart"/>
            <w:tcBorders>
              <w:top w:val="single" w:color="auto" w:sz="4" w:space="0"/>
              <w:left w:val="single" w:color="auto" w:sz="4" w:space="0"/>
              <w:right w:val="single" w:color="000000" w:sz="4" w:space="0"/>
            </w:tcBorders>
            <w:shd w:val="clear" w:color="auto" w:fill="FFFFFF"/>
            <w:vAlign w:val="center"/>
          </w:tcPr>
          <w:p>
            <w:pPr>
              <w:widowControl/>
              <w:jc w:val="center"/>
              <w:rPr>
                <w:rFonts w:ascii="宋体" w:hAnsi="宋体"/>
                <w:szCs w:val="21"/>
              </w:rPr>
            </w:pPr>
            <w:r>
              <w:rPr>
                <w:rFonts w:hint="eastAsia" w:ascii="宋体" w:hAnsi="宋体"/>
                <w:szCs w:val="21"/>
              </w:rPr>
              <w:t>专</w:t>
            </w:r>
          </w:p>
          <w:p>
            <w:pPr>
              <w:widowControl/>
              <w:jc w:val="center"/>
              <w:rPr>
                <w:rFonts w:ascii="宋体" w:hAnsi="宋体"/>
                <w:szCs w:val="21"/>
              </w:rPr>
            </w:pPr>
            <w:r>
              <w:rPr>
                <w:rFonts w:hint="eastAsia" w:ascii="宋体" w:hAnsi="宋体"/>
                <w:szCs w:val="21"/>
              </w:rPr>
              <w:t>业</w:t>
            </w:r>
          </w:p>
          <w:p>
            <w:pPr>
              <w:jc w:val="center"/>
              <w:rPr>
                <w:rFonts w:ascii="宋体" w:hAnsi="宋体"/>
                <w:szCs w:val="21"/>
              </w:rPr>
            </w:pPr>
            <w:r>
              <w:rPr>
                <w:rFonts w:hint="eastAsia" w:ascii="宋体" w:hAnsi="宋体"/>
                <w:szCs w:val="21"/>
              </w:rPr>
              <w:t>基础课</w:t>
            </w:r>
          </w:p>
        </w:tc>
        <w:tc>
          <w:tcPr>
            <w:tcW w:w="450" w:type="dxa"/>
            <w:vMerge w:val="restart"/>
            <w:tcBorders>
              <w:top w:val="single" w:color="auto" w:sz="4" w:space="0"/>
              <w:left w:val="single" w:color="000000"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必</w:t>
            </w:r>
          </w:p>
          <w:p>
            <w:pPr>
              <w:jc w:val="center"/>
              <w:rPr>
                <w:rFonts w:ascii="宋体" w:hAnsi="宋体"/>
                <w:szCs w:val="21"/>
              </w:rPr>
            </w:pPr>
            <w:r>
              <w:rPr>
                <w:rFonts w:hint="eastAsia" w:ascii="宋体" w:hAnsi="宋体"/>
                <w:szCs w:val="21"/>
              </w:rPr>
              <w:t>修</w:t>
            </w:r>
          </w:p>
          <w:p>
            <w:pPr>
              <w:jc w:val="center"/>
              <w:rPr>
                <w:rFonts w:ascii="宋体" w:hAnsi="宋体"/>
                <w:szCs w:val="21"/>
              </w:rPr>
            </w:pPr>
            <w:r>
              <w:rPr>
                <w:rFonts w:ascii="宋体" w:hAnsi="宋体"/>
                <w:szCs w:val="21"/>
              </w:rPr>
              <w:t>课</w:t>
            </w:r>
          </w:p>
        </w:tc>
        <w:tc>
          <w:tcPr>
            <w:tcW w:w="2107" w:type="dxa"/>
            <w:gridSpan w:val="2"/>
            <w:tcBorders>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0118201</w:t>
            </w:r>
          </w:p>
        </w:tc>
        <w:tc>
          <w:tcPr>
            <w:tcW w:w="2732" w:type="dxa"/>
            <w:tcBorders>
              <w:top w:val="single" w:color="000000"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ascii="宋体" w:hAnsi="宋体"/>
                <w:szCs w:val="21"/>
              </w:rPr>
              <w:t>*</w:t>
            </w:r>
            <w:r>
              <w:rPr>
                <w:rFonts w:hint="eastAsia" w:ascii="宋体" w:hAnsi="宋体"/>
                <w:szCs w:val="21"/>
              </w:rPr>
              <w:t>建筑工程项目识图</w:t>
            </w:r>
          </w:p>
        </w:tc>
        <w:tc>
          <w:tcPr>
            <w:tcW w:w="582"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5</w:t>
            </w:r>
          </w:p>
        </w:tc>
        <w:tc>
          <w:tcPr>
            <w:tcW w:w="711"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80</w:t>
            </w:r>
          </w:p>
        </w:tc>
        <w:tc>
          <w:tcPr>
            <w:tcW w:w="701"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24</w:t>
            </w:r>
          </w:p>
        </w:tc>
        <w:tc>
          <w:tcPr>
            <w:tcW w:w="76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6</w:t>
            </w:r>
            <w:r>
              <w:rPr>
                <w:rFonts w:hint="eastAsia" w:ascii="宋体" w:hAnsi="宋体"/>
                <w:szCs w:val="21"/>
              </w:rPr>
              <w:t>▲</w:t>
            </w:r>
          </w:p>
        </w:tc>
        <w:tc>
          <w:tcPr>
            <w:tcW w:w="81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iCs/>
                <w:sz w:val="18"/>
                <w:szCs w:val="18"/>
              </w:rPr>
            </w:pPr>
          </w:p>
        </w:tc>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szCs w:val="21"/>
              </w:rPr>
            </w:pPr>
          </w:p>
        </w:tc>
        <w:tc>
          <w:tcPr>
            <w:tcW w:w="2282"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288" w:hRule="exact"/>
          <w:jc w:val="center"/>
        </w:trPr>
        <w:tc>
          <w:tcPr>
            <w:tcW w:w="385" w:type="dxa"/>
            <w:vMerge w:val="continue"/>
            <w:tcBorders>
              <w:left w:val="single" w:color="auto" w:sz="4" w:space="0"/>
              <w:right w:val="single" w:color="000000" w:sz="4" w:space="0"/>
            </w:tcBorders>
            <w:shd w:val="clear" w:color="auto" w:fill="FFFFFF"/>
            <w:vAlign w:val="center"/>
          </w:tcPr>
          <w:p>
            <w:pPr>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0118202</w:t>
            </w:r>
          </w:p>
        </w:tc>
        <w:tc>
          <w:tcPr>
            <w:tcW w:w="2732" w:type="dxa"/>
            <w:tcBorders>
              <w:top w:val="single" w:color="000000"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bCs/>
                <w:szCs w:val="21"/>
              </w:rPr>
            </w:pPr>
            <w:r>
              <w:rPr>
                <w:rFonts w:ascii="宋体" w:hAnsi="宋体"/>
                <w:szCs w:val="21"/>
              </w:rPr>
              <w:t>*</w:t>
            </w:r>
            <w:r>
              <w:rPr>
                <w:rFonts w:hint="eastAsia" w:ascii="宋体" w:hAnsi="宋体"/>
                <w:bCs/>
                <w:szCs w:val="21"/>
              </w:rPr>
              <w:t>结构识图及平法应用</w:t>
            </w:r>
          </w:p>
        </w:tc>
        <w:tc>
          <w:tcPr>
            <w:tcW w:w="582"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6</w:t>
            </w:r>
          </w:p>
        </w:tc>
        <w:tc>
          <w:tcPr>
            <w:tcW w:w="711"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96</w:t>
            </w:r>
          </w:p>
        </w:tc>
        <w:tc>
          <w:tcPr>
            <w:tcW w:w="701"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20</w:t>
            </w:r>
          </w:p>
        </w:tc>
        <w:tc>
          <w:tcPr>
            <w:tcW w:w="76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1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6</w:t>
            </w:r>
          </w:p>
        </w:tc>
        <w:tc>
          <w:tcPr>
            <w:tcW w:w="74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iCs/>
                <w:sz w:val="18"/>
                <w:szCs w:val="18"/>
              </w:rPr>
            </w:pPr>
          </w:p>
        </w:tc>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szCs w:val="21"/>
              </w:rPr>
            </w:pPr>
          </w:p>
        </w:tc>
        <w:tc>
          <w:tcPr>
            <w:tcW w:w="2282"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28" w:hRule="exact"/>
          <w:jc w:val="center"/>
        </w:trPr>
        <w:tc>
          <w:tcPr>
            <w:tcW w:w="385" w:type="dxa"/>
            <w:vMerge w:val="continue"/>
            <w:tcBorders>
              <w:left w:val="single" w:color="auto" w:sz="4" w:space="0"/>
              <w:right w:val="single" w:color="000000" w:sz="4" w:space="0"/>
            </w:tcBorders>
            <w:shd w:val="clear" w:color="auto" w:fill="FFFFFF"/>
            <w:vAlign w:val="center"/>
          </w:tcPr>
          <w:p>
            <w:pPr>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0118203</w:t>
            </w:r>
          </w:p>
        </w:tc>
        <w:tc>
          <w:tcPr>
            <w:tcW w:w="2732" w:type="dxa"/>
            <w:tcBorders>
              <w:top w:val="single" w:color="000000"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cs="MS Mincho"/>
                <w:bCs/>
                <w:szCs w:val="21"/>
              </w:rPr>
            </w:pPr>
            <w:r>
              <w:rPr>
                <w:rFonts w:hint="eastAsia" w:ascii="宋体" w:hAnsi="宋体"/>
                <w:szCs w:val="21"/>
              </w:rPr>
              <w:t>识图及钢筋计量实训</w:t>
            </w:r>
          </w:p>
        </w:tc>
        <w:tc>
          <w:tcPr>
            <w:tcW w:w="582" w:type="dxa"/>
            <w:tcBorders>
              <w:top w:val="single" w:color="000000" w:sz="4" w:space="0"/>
              <w:left w:val="single" w:color="000000" w:sz="12" w:space="0"/>
              <w:bottom w:val="single" w:color="auto" w:sz="4" w:space="0"/>
              <w:right w:val="single" w:color="000000" w:sz="4" w:space="0"/>
            </w:tcBorders>
            <w:shd w:val="clear" w:color="auto" w:fill="FFFFFF"/>
            <w:vAlign w:val="center"/>
          </w:tcPr>
          <w:p>
            <w:pPr>
              <w:jc w:val="center"/>
              <w:rPr>
                <w:rFonts w:ascii="宋体" w:hAnsi="宋体"/>
                <w:szCs w:val="21"/>
              </w:rPr>
            </w:pPr>
            <w:r>
              <w:rPr>
                <w:rFonts w:ascii="宋体" w:hAnsi="宋体"/>
                <w:szCs w:val="21"/>
              </w:rPr>
              <w:t>3</w:t>
            </w:r>
          </w:p>
        </w:tc>
        <w:tc>
          <w:tcPr>
            <w:tcW w:w="711" w:type="dxa"/>
            <w:tcBorders>
              <w:top w:val="single" w:color="000000" w:sz="4" w:space="0"/>
              <w:left w:val="single" w:color="000000" w:sz="12" w:space="0"/>
              <w:bottom w:val="single" w:color="auto"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72</w:t>
            </w:r>
          </w:p>
        </w:tc>
        <w:tc>
          <w:tcPr>
            <w:tcW w:w="701"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72</w:t>
            </w:r>
          </w:p>
        </w:tc>
        <w:tc>
          <w:tcPr>
            <w:tcW w:w="76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r>
              <w:rPr>
                <w:rFonts w:ascii="宋体" w:hAnsi="宋体"/>
                <w:szCs w:val="21"/>
              </w:rPr>
              <w:t>1W</w:t>
            </w:r>
          </w:p>
        </w:tc>
        <w:tc>
          <w:tcPr>
            <w:tcW w:w="813"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r>
              <w:rPr>
                <w:rFonts w:ascii="宋体" w:hAnsi="宋体"/>
                <w:szCs w:val="21"/>
              </w:rPr>
              <w:t>2W</w:t>
            </w:r>
          </w:p>
        </w:tc>
        <w:tc>
          <w:tcPr>
            <w:tcW w:w="74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iCs/>
                <w:sz w:val="18"/>
                <w:szCs w:val="18"/>
              </w:rPr>
            </w:pPr>
          </w:p>
        </w:tc>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szCs w:val="21"/>
              </w:rPr>
            </w:pPr>
          </w:p>
        </w:tc>
        <w:tc>
          <w:tcPr>
            <w:tcW w:w="2282"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41" w:hRule="exac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011820</w:t>
            </w:r>
            <w:r>
              <w:rPr>
                <w:rFonts w:hint="eastAsia" w:ascii="宋体" w:hAnsi="宋体"/>
                <w:szCs w:val="21"/>
              </w:rPr>
              <w:t>4</w:t>
            </w:r>
          </w:p>
        </w:tc>
        <w:tc>
          <w:tcPr>
            <w:tcW w:w="2732" w:type="dxa"/>
            <w:tcBorders>
              <w:top w:val="single" w:color="000000"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ascii="宋体" w:hAnsi="宋体"/>
                <w:szCs w:val="21"/>
              </w:rPr>
              <w:t>*</w:t>
            </w:r>
            <w:r>
              <w:rPr>
                <w:rFonts w:hint="eastAsia" w:ascii="宋体" w:hAnsi="宋体"/>
                <w:szCs w:val="21"/>
              </w:rPr>
              <w:t>建筑施工工艺</w:t>
            </w:r>
          </w:p>
        </w:tc>
        <w:tc>
          <w:tcPr>
            <w:tcW w:w="582"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w:t>
            </w:r>
          </w:p>
        </w:tc>
        <w:tc>
          <w:tcPr>
            <w:tcW w:w="711"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64</w:t>
            </w:r>
          </w:p>
        </w:tc>
        <w:tc>
          <w:tcPr>
            <w:tcW w:w="701"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12</w:t>
            </w:r>
          </w:p>
        </w:tc>
        <w:tc>
          <w:tcPr>
            <w:tcW w:w="76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1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w:t>
            </w:r>
          </w:p>
        </w:tc>
        <w:tc>
          <w:tcPr>
            <w:tcW w:w="74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iCs/>
                <w:sz w:val="18"/>
                <w:szCs w:val="18"/>
              </w:rPr>
            </w:pPr>
          </w:p>
        </w:tc>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04" w:hRule="exac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011820</w:t>
            </w:r>
            <w:r>
              <w:rPr>
                <w:rFonts w:hint="eastAsia" w:ascii="宋体" w:hAnsi="宋体"/>
                <w:szCs w:val="21"/>
              </w:rPr>
              <w:t>5</w:t>
            </w:r>
          </w:p>
        </w:tc>
        <w:tc>
          <w:tcPr>
            <w:tcW w:w="2732" w:type="dxa"/>
            <w:tcBorders>
              <w:top w:val="single" w:color="000000"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工程测量</w:t>
            </w:r>
          </w:p>
        </w:tc>
        <w:tc>
          <w:tcPr>
            <w:tcW w:w="582"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2</w:t>
            </w:r>
          </w:p>
        </w:tc>
        <w:tc>
          <w:tcPr>
            <w:tcW w:w="711"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32</w:t>
            </w:r>
          </w:p>
        </w:tc>
        <w:tc>
          <w:tcPr>
            <w:tcW w:w="701"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hint="default" w:ascii="宋体" w:hAnsi="宋体" w:eastAsia="宋体"/>
                <w:szCs w:val="21"/>
                <w:lang w:val="en-US" w:eastAsia="zh-CN"/>
              </w:rPr>
            </w:pPr>
            <w:r>
              <w:rPr>
                <w:rFonts w:hint="eastAsia" w:ascii="宋体" w:hAnsi="宋体"/>
                <w:color w:val="auto"/>
                <w:szCs w:val="21"/>
                <w:lang w:val="en-US" w:eastAsia="zh-CN"/>
              </w:rPr>
              <w:t>14</w:t>
            </w:r>
          </w:p>
        </w:tc>
        <w:tc>
          <w:tcPr>
            <w:tcW w:w="76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1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1W</w:t>
            </w: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iCs/>
                <w:sz w:val="18"/>
                <w:szCs w:val="18"/>
              </w:rPr>
            </w:pPr>
          </w:p>
        </w:tc>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21" w:hRule="exac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color w:val="000000"/>
                <w:szCs w:val="21"/>
              </w:rPr>
              <w:t>22</w:t>
            </w:r>
            <w:r>
              <w:rPr>
                <w:rFonts w:ascii="宋体" w:hAnsi="宋体"/>
                <w:color w:val="000000"/>
                <w:szCs w:val="21"/>
              </w:rPr>
              <w:t>011820</w:t>
            </w:r>
            <w:r>
              <w:rPr>
                <w:rFonts w:hint="eastAsia" w:ascii="宋体" w:hAnsi="宋体"/>
                <w:color w:val="000000"/>
                <w:szCs w:val="21"/>
              </w:rPr>
              <w:t>6</w:t>
            </w:r>
          </w:p>
        </w:tc>
        <w:tc>
          <w:tcPr>
            <w:tcW w:w="2732" w:type="dxa"/>
            <w:tcBorders>
              <w:top w:val="single" w:color="000000"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专业认知实习</w:t>
            </w:r>
          </w:p>
        </w:tc>
        <w:tc>
          <w:tcPr>
            <w:tcW w:w="582"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w:t>
            </w:r>
          </w:p>
        </w:tc>
        <w:tc>
          <w:tcPr>
            <w:tcW w:w="711"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w:t>
            </w:r>
            <w:r>
              <w:rPr>
                <w:rFonts w:ascii="宋体" w:hAnsi="宋体"/>
                <w:szCs w:val="21"/>
              </w:rPr>
              <w:t>0</w:t>
            </w:r>
          </w:p>
        </w:tc>
        <w:tc>
          <w:tcPr>
            <w:tcW w:w="701"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w:t>
            </w:r>
            <w:r>
              <w:rPr>
                <w:rFonts w:ascii="宋体" w:hAnsi="宋体"/>
                <w:szCs w:val="21"/>
              </w:rPr>
              <w:t>0</w:t>
            </w:r>
          </w:p>
        </w:tc>
        <w:tc>
          <w:tcPr>
            <w:tcW w:w="76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color w:val="000000"/>
                <w:szCs w:val="21"/>
              </w:rPr>
              <w:t>1W</w:t>
            </w:r>
          </w:p>
        </w:tc>
        <w:tc>
          <w:tcPr>
            <w:tcW w:w="81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iCs/>
                <w:sz w:val="18"/>
                <w:szCs w:val="18"/>
              </w:rPr>
            </w:pPr>
          </w:p>
        </w:tc>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第一学期假期进行</w:t>
            </w:r>
          </w:p>
          <w:p>
            <w:pPr>
              <w:spacing w:line="24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61" w:hRule="exac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ascii="宋体" w:hAnsi="宋体"/>
                <w:color w:val="000000"/>
                <w:szCs w:val="21"/>
              </w:rPr>
            </w:pPr>
            <w:r>
              <w:rPr>
                <w:rFonts w:hint="eastAsia" w:ascii="宋体" w:hAnsi="宋体"/>
                <w:color w:val="000000"/>
                <w:szCs w:val="21"/>
              </w:rPr>
              <w:t>22</w:t>
            </w:r>
            <w:r>
              <w:rPr>
                <w:rFonts w:ascii="宋体" w:hAnsi="宋体"/>
                <w:color w:val="000000"/>
                <w:szCs w:val="21"/>
              </w:rPr>
              <w:t>011820</w:t>
            </w:r>
            <w:r>
              <w:rPr>
                <w:rFonts w:hint="eastAsia" w:ascii="宋体" w:hAnsi="宋体"/>
                <w:color w:val="000000"/>
                <w:szCs w:val="21"/>
              </w:rPr>
              <w:t>7</w:t>
            </w:r>
          </w:p>
        </w:tc>
        <w:tc>
          <w:tcPr>
            <w:tcW w:w="2732" w:type="dxa"/>
            <w:tcBorders>
              <w:top w:val="single" w:color="000000"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color w:val="000000"/>
                <w:szCs w:val="21"/>
              </w:rPr>
            </w:pPr>
            <w:r>
              <w:rPr>
                <w:rFonts w:hint="eastAsia" w:ascii="宋体" w:hAnsi="宋体"/>
                <w:color w:val="000000"/>
                <w:szCs w:val="21"/>
              </w:rPr>
              <w:t>专业岗位实践</w:t>
            </w:r>
          </w:p>
        </w:tc>
        <w:tc>
          <w:tcPr>
            <w:tcW w:w="582"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ascii="宋体" w:hAnsi="宋体"/>
                <w:color w:val="000000"/>
                <w:szCs w:val="21"/>
              </w:rPr>
              <w:t>2</w:t>
            </w:r>
          </w:p>
        </w:tc>
        <w:tc>
          <w:tcPr>
            <w:tcW w:w="711" w:type="dxa"/>
            <w:tcBorders>
              <w:top w:val="single" w:color="000000"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ascii="宋体" w:hAnsi="宋体"/>
                <w:color w:val="000000"/>
                <w:szCs w:val="21"/>
              </w:rPr>
              <w:t>40</w:t>
            </w:r>
          </w:p>
        </w:tc>
        <w:tc>
          <w:tcPr>
            <w:tcW w:w="701"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ascii="宋体" w:hAnsi="宋体"/>
                <w:color w:val="000000"/>
                <w:szCs w:val="21"/>
              </w:rPr>
              <w:t>40</w:t>
            </w:r>
          </w:p>
        </w:tc>
        <w:tc>
          <w:tcPr>
            <w:tcW w:w="766"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p>
        </w:tc>
        <w:tc>
          <w:tcPr>
            <w:tcW w:w="813"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hint="eastAsia" w:ascii="宋体" w:hAnsi="宋体"/>
                <w:color w:val="000000"/>
                <w:szCs w:val="21"/>
              </w:rPr>
              <w:t>2W</w:t>
            </w:r>
          </w:p>
        </w:tc>
        <w:tc>
          <w:tcPr>
            <w:tcW w:w="747"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000000"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iCs/>
                <w:sz w:val="18"/>
                <w:szCs w:val="18"/>
              </w:rPr>
            </w:pPr>
          </w:p>
        </w:tc>
        <w:tc>
          <w:tcPr>
            <w:tcW w:w="564"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第二学期假期进行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339" w:hRule="atLeast"/>
          <w:jc w:val="center"/>
        </w:trPr>
        <w:tc>
          <w:tcPr>
            <w:tcW w:w="385" w:type="dxa"/>
            <w:vMerge w:val="continue"/>
            <w:tcBorders>
              <w:left w:val="single" w:color="auto" w:sz="4" w:space="0"/>
              <w:bottom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bottom w:val="single" w:color="auto" w:sz="4" w:space="0"/>
              <w:right w:val="single" w:color="000000" w:sz="4" w:space="0"/>
            </w:tcBorders>
            <w:shd w:val="clear" w:color="auto" w:fill="FFFFFF"/>
            <w:vAlign w:val="center"/>
          </w:tcPr>
          <w:p>
            <w:pPr>
              <w:widowControl/>
              <w:jc w:val="center"/>
              <w:rPr>
                <w:rFonts w:ascii="宋体" w:hAnsi="宋体"/>
                <w:szCs w:val="21"/>
              </w:rPr>
            </w:pPr>
          </w:p>
        </w:tc>
        <w:tc>
          <w:tcPr>
            <w:tcW w:w="4839" w:type="dxa"/>
            <w:gridSpan w:val="3"/>
            <w:tcBorders>
              <w:top w:val="single" w:color="auto" w:sz="4" w:space="0"/>
              <w:left w:val="single" w:color="000000" w:sz="4" w:space="0"/>
              <w:bottom w:val="single" w:color="auto" w:sz="4" w:space="0"/>
              <w:right w:val="single" w:color="000000" w:sz="2" w:space="0"/>
            </w:tcBorders>
            <w:shd w:val="clear" w:color="auto" w:fill="BEBEBE"/>
            <w:vAlign w:val="center"/>
          </w:tcPr>
          <w:p>
            <w:pPr>
              <w:spacing w:line="0" w:lineRule="atLeast"/>
              <w:jc w:val="center"/>
              <w:rPr>
                <w:rFonts w:ascii="宋体" w:hAnsi="宋体"/>
                <w:szCs w:val="21"/>
              </w:rPr>
            </w:pPr>
            <w:r>
              <w:rPr>
                <w:rFonts w:hint="eastAsia" w:ascii="宋体" w:hAnsi="宋体"/>
                <w:b/>
                <w:bCs/>
                <w:szCs w:val="21"/>
              </w:rPr>
              <w:t>专业基础课合计</w:t>
            </w:r>
          </w:p>
        </w:tc>
        <w:tc>
          <w:tcPr>
            <w:tcW w:w="582" w:type="dxa"/>
            <w:tcBorders>
              <w:top w:val="single" w:color="auto" w:sz="4" w:space="0"/>
              <w:left w:val="single" w:color="000000" w:sz="12" w:space="0"/>
              <w:bottom w:val="single" w:color="auto"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23</w:t>
            </w:r>
          </w:p>
        </w:tc>
        <w:tc>
          <w:tcPr>
            <w:tcW w:w="711" w:type="dxa"/>
            <w:tcBorders>
              <w:top w:val="single" w:color="auto" w:sz="4" w:space="0"/>
              <w:left w:val="single" w:color="000000" w:sz="12" w:space="0"/>
              <w:bottom w:val="single" w:color="auto"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404</w:t>
            </w:r>
          </w:p>
        </w:tc>
        <w:tc>
          <w:tcPr>
            <w:tcW w:w="701"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202</w:t>
            </w:r>
          </w:p>
        </w:tc>
        <w:tc>
          <w:tcPr>
            <w:tcW w:w="766"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240" w:lineRule="atLeast"/>
              <w:jc w:val="center"/>
              <w:rPr>
                <w:rFonts w:ascii="宋体" w:hAnsi="宋体" w:cs="宋体"/>
                <w:b/>
                <w:szCs w:val="21"/>
              </w:rPr>
            </w:pPr>
            <w:r>
              <w:rPr>
                <w:rFonts w:ascii="宋体" w:hAnsi="宋体"/>
                <w:b/>
                <w:szCs w:val="21"/>
              </w:rPr>
              <w:t>6+</w:t>
            </w:r>
            <w:r>
              <w:rPr>
                <w:rFonts w:hint="eastAsia" w:ascii="宋体" w:hAnsi="宋体"/>
                <w:b/>
                <w:szCs w:val="21"/>
              </w:rPr>
              <w:t>1</w:t>
            </w:r>
            <w:r>
              <w:rPr>
                <w:rFonts w:ascii="宋体" w:hAnsi="宋体"/>
                <w:b/>
                <w:szCs w:val="21"/>
              </w:rPr>
              <w:t>W</w:t>
            </w:r>
          </w:p>
        </w:tc>
        <w:tc>
          <w:tcPr>
            <w:tcW w:w="813" w:type="dxa"/>
            <w:tcBorders>
              <w:top w:val="single" w:color="auto" w:sz="4" w:space="0"/>
              <w:left w:val="single" w:color="000000" w:sz="4" w:space="0"/>
              <w:bottom w:val="single" w:color="auto" w:sz="4" w:space="0"/>
              <w:right w:val="single" w:color="000000" w:sz="4" w:space="0"/>
            </w:tcBorders>
            <w:shd w:val="clear" w:color="auto" w:fill="BEBEBE"/>
            <w:vAlign w:val="center"/>
          </w:tcPr>
          <w:p>
            <w:pPr>
              <w:jc w:val="center"/>
              <w:rPr>
                <w:rFonts w:ascii="宋体" w:hAnsi="宋体" w:cs="宋体"/>
                <w:b/>
                <w:szCs w:val="21"/>
              </w:rPr>
            </w:pPr>
            <w:r>
              <w:rPr>
                <w:rFonts w:ascii="宋体" w:hAnsi="宋体"/>
                <w:b/>
                <w:szCs w:val="21"/>
              </w:rPr>
              <w:t>1</w:t>
            </w:r>
            <w:r>
              <w:rPr>
                <w:rFonts w:hint="eastAsia" w:ascii="宋体" w:hAnsi="宋体"/>
                <w:b/>
                <w:szCs w:val="21"/>
              </w:rPr>
              <w:t>0</w:t>
            </w:r>
            <w:r>
              <w:rPr>
                <w:rFonts w:ascii="宋体" w:hAnsi="宋体"/>
                <w:b/>
                <w:szCs w:val="21"/>
              </w:rPr>
              <w:t>+</w:t>
            </w:r>
            <w:r>
              <w:rPr>
                <w:rFonts w:hint="eastAsia" w:ascii="宋体" w:hAnsi="宋体"/>
                <w:b/>
                <w:szCs w:val="21"/>
              </w:rPr>
              <w:t>2</w:t>
            </w:r>
            <w:r>
              <w:rPr>
                <w:rFonts w:ascii="宋体" w:hAnsi="宋体"/>
                <w:b/>
                <w:szCs w:val="21"/>
              </w:rPr>
              <w:t>W</w:t>
            </w:r>
          </w:p>
        </w:tc>
        <w:tc>
          <w:tcPr>
            <w:tcW w:w="747" w:type="dxa"/>
            <w:tcBorders>
              <w:top w:val="single" w:color="auto" w:sz="4" w:space="0"/>
              <w:left w:val="single" w:color="000000" w:sz="4" w:space="0"/>
              <w:bottom w:val="single" w:color="auto" w:sz="4" w:space="0"/>
              <w:right w:val="single" w:color="000000" w:sz="4" w:space="0"/>
            </w:tcBorders>
            <w:shd w:val="clear" w:color="auto" w:fill="BEBEBE"/>
            <w:vAlign w:val="center"/>
          </w:tcPr>
          <w:p>
            <w:pPr>
              <w:jc w:val="center"/>
              <w:rPr>
                <w:rFonts w:ascii="宋体" w:hAnsi="宋体" w:cs="宋体"/>
                <w:b/>
                <w:szCs w:val="21"/>
              </w:rPr>
            </w:pPr>
            <w:r>
              <w:rPr>
                <w:rFonts w:ascii="宋体" w:hAnsi="宋体" w:cs="宋体"/>
                <w:b/>
                <w:szCs w:val="21"/>
              </w:rPr>
              <w:t>1W</w:t>
            </w:r>
          </w:p>
        </w:tc>
        <w:tc>
          <w:tcPr>
            <w:tcW w:w="804" w:type="dxa"/>
            <w:tcBorders>
              <w:top w:val="single" w:color="auto" w:sz="4" w:space="0"/>
              <w:left w:val="single" w:color="000000" w:sz="4" w:space="0"/>
              <w:bottom w:val="single" w:color="auto" w:sz="4" w:space="0"/>
              <w:right w:val="single" w:color="000000" w:sz="4" w:space="0"/>
            </w:tcBorders>
            <w:shd w:val="clear" w:color="auto" w:fill="BEBEBE"/>
            <w:vAlign w:val="center"/>
          </w:tcPr>
          <w:p>
            <w:pPr>
              <w:jc w:val="center"/>
              <w:rPr>
                <w:rFonts w:ascii="宋体" w:hAnsi="宋体" w:cs="宋体"/>
                <w:b/>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BEBEBE"/>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restart"/>
            <w:tcBorders>
              <w:left w:val="single" w:color="auto"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专业课</w:t>
            </w:r>
          </w:p>
        </w:tc>
        <w:tc>
          <w:tcPr>
            <w:tcW w:w="450" w:type="dxa"/>
            <w:vMerge w:val="restart"/>
            <w:tcBorders>
              <w:left w:val="single" w:color="000000"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必修课</w:t>
            </w: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301</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ascii="宋体" w:hAnsi="宋体"/>
                <w:szCs w:val="21"/>
              </w:rPr>
              <w:t>*</w:t>
            </w:r>
            <w:r>
              <w:rPr>
                <w:rFonts w:hint="eastAsia" w:ascii="宋体" w:hAnsi="宋体"/>
                <w:szCs w:val="21"/>
              </w:rPr>
              <w:t>建设工程项目管理</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64</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12</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w:t>
            </w: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302</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hint="eastAsia" w:ascii="宋体" w:hAnsi="宋体" w:eastAsia="宋体"/>
                <w:szCs w:val="21"/>
                <w:lang w:val="en-US" w:eastAsia="zh-CN"/>
              </w:rPr>
            </w:pPr>
            <w:r>
              <w:rPr>
                <w:rFonts w:ascii="宋体" w:hAnsi="宋体"/>
                <w:szCs w:val="21"/>
              </w:rPr>
              <w:t>*</w:t>
            </w:r>
            <w:r>
              <w:rPr>
                <w:rFonts w:hint="eastAsia" w:ascii="宋体" w:hAnsi="宋体"/>
                <w:szCs w:val="21"/>
                <w:lang w:eastAsia="zh-CN"/>
              </w:rPr>
              <w:t>建筑工程计量与计价实务</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10</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160</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48</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6</w:t>
            </w:r>
            <w:r>
              <w:rPr>
                <w:rFonts w:hint="eastAsia" w:ascii="宋体" w:hAnsi="宋体"/>
                <w:szCs w:val="21"/>
              </w:rPr>
              <w:t>▲</w:t>
            </w: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w:t>
            </w:r>
            <w:r>
              <w:rPr>
                <w:rFonts w:hint="eastAsia" w:ascii="宋体" w:hAnsi="宋体"/>
                <w:szCs w:val="21"/>
              </w:rPr>
              <w:t>▲</w:t>
            </w: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303</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建设工程经济</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48</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8</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w:t>
            </w: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469"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304</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hint="eastAsia" w:ascii="宋体" w:hAnsi="宋体" w:eastAsia="宋体"/>
                <w:szCs w:val="21"/>
                <w:lang w:eastAsia="zh-CN"/>
              </w:rPr>
            </w:pPr>
            <w:r>
              <w:rPr>
                <w:rFonts w:hint="eastAsia" w:ascii="宋体" w:hAnsi="宋体"/>
                <w:szCs w:val="21"/>
                <w:lang w:eastAsia="zh-CN"/>
              </w:rPr>
              <w:t>建筑工程BIM造价软件应用</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64</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48</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4</w:t>
            </w: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305</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hint="eastAsia" w:ascii="宋体" w:hAnsi="宋体" w:eastAsia="宋体"/>
                <w:szCs w:val="21"/>
                <w:lang w:eastAsia="zh-CN"/>
              </w:rPr>
            </w:pPr>
            <w:r>
              <w:rPr>
                <w:rFonts w:ascii="宋体" w:hAnsi="宋体"/>
                <w:szCs w:val="21"/>
              </w:rPr>
              <w:t>*</w:t>
            </w:r>
            <w:r>
              <w:rPr>
                <w:rFonts w:hint="eastAsia" w:ascii="宋体" w:hAnsi="宋体"/>
                <w:szCs w:val="21"/>
                <w:lang w:eastAsia="zh-CN"/>
              </w:rPr>
              <w:t>建筑施工组织设计与管理</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6</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96</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24</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6</w:t>
            </w:r>
            <w:r>
              <w:rPr>
                <w:rFonts w:hint="eastAsia" w:ascii="宋体" w:hAnsi="宋体"/>
                <w:szCs w:val="21"/>
              </w:rPr>
              <w:t>▲</w:t>
            </w: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30</w:t>
            </w:r>
            <w:r>
              <w:rPr>
                <w:rFonts w:hint="eastAsia" w:ascii="宋体" w:hAnsi="宋体"/>
                <w:szCs w:val="21"/>
              </w:rPr>
              <w:t>6</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before="100" w:beforeAutospacing="1" w:after="100" w:afterAutospacing="1"/>
              <w:jc w:val="center"/>
              <w:rPr>
                <w:rFonts w:ascii="宋体" w:hAnsi="宋体"/>
                <w:szCs w:val="21"/>
              </w:rPr>
            </w:pPr>
            <w:r>
              <w:rPr>
                <w:rFonts w:ascii="宋体" w:hAnsi="宋体"/>
                <w:szCs w:val="21"/>
              </w:rPr>
              <w:t>BIM5D</w:t>
            </w:r>
            <w:r>
              <w:rPr>
                <w:rFonts w:hint="eastAsia" w:ascii="宋体" w:hAnsi="宋体"/>
                <w:szCs w:val="21"/>
              </w:rPr>
              <w:t>项目应用与分析</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2</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32</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32</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1W</w:t>
            </w: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创新创业类课程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30</w:t>
            </w:r>
            <w:r>
              <w:rPr>
                <w:rFonts w:hint="eastAsia" w:ascii="宋体" w:hAnsi="宋体"/>
                <w:szCs w:val="21"/>
              </w:rPr>
              <w:t>7</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建筑工程造价技能实训</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24</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24</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w:t>
            </w:r>
            <w:r>
              <w:rPr>
                <w:rFonts w:ascii="宋体" w:hAnsi="宋体"/>
                <w:szCs w:val="21"/>
              </w:rPr>
              <w:t>W</w:t>
            </w: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w:t>
            </w:r>
            <w:r>
              <w:rPr>
                <w:rFonts w:hint="eastAsia" w:ascii="宋体" w:hAnsi="宋体"/>
                <w:szCs w:val="21"/>
              </w:rPr>
              <w:t>08</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建设工程管理综合实训</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48</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48</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w:t>
            </w:r>
            <w:r>
              <w:rPr>
                <w:rFonts w:ascii="宋体" w:hAnsi="宋体"/>
                <w:szCs w:val="21"/>
              </w:rPr>
              <w:t>W</w:t>
            </w: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w:t>
            </w:r>
            <w:r>
              <w:rPr>
                <w:rFonts w:hint="eastAsia" w:ascii="宋体" w:hAnsi="宋体"/>
                <w:szCs w:val="21"/>
              </w:rPr>
              <w:t>09</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企业实践</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17</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340</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340</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17W</w:t>
            </w: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r>
              <w:rPr>
                <w:rFonts w:hint="eastAsia" w:ascii="宋体" w:hAnsi="宋体"/>
                <w:szCs w:val="21"/>
              </w:rPr>
              <w:t>工学交替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31</w:t>
            </w:r>
            <w:r>
              <w:rPr>
                <w:rFonts w:hint="eastAsia" w:ascii="宋体" w:hAnsi="宋体"/>
                <w:szCs w:val="21"/>
              </w:rPr>
              <w:t>0</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创业指导</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bCs/>
                <w:szCs w:val="21"/>
              </w:rPr>
            </w:pPr>
            <w:r>
              <w:rPr>
                <w:rFonts w:ascii="宋体" w:hAnsi="宋体"/>
                <w:bCs/>
                <w:szCs w:val="21"/>
              </w:rPr>
              <w:t>2</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bCs/>
                <w:szCs w:val="21"/>
              </w:rPr>
            </w:pPr>
            <w:r>
              <w:rPr>
                <w:rFonts w:hint="eastAsia" w:ascii="宋体" w:hAnsi="宋体"/>
                <w:bCs/>
                <w:szCs w:val="21"/>
              </w:rPr>
              <w:t>32</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Cs/>
                <w:szCs w:val="21"/>
              </w:rPr>
            </w:pPr>
            <w:r>
              <w:rPr>
                <w:rFonts w:ascii="宋体" w:hAnsi="宋体"/>
                <w:bCs/>
                <w:szCs w:val="21"/>
              </w:rPr>
              <w:t>0</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rPr>
                <w:rFonts w:ascii="宋体" w:hAnsi="宋体"/>
                <w:szCs w:val="21"/>
              </w:rPr>
            </w:pPr>
            <w:r>
              <w:rPr>
                <w:rFonts w:hint="eastAsia" w:ascii="宋体" w:hAnsi="宋体" w:cs="MS Mincho"/>
                <w:szCs w:val="21"/>
              </w:rPr>
              <w:t>（</w:t>
            </w:r>
            <w:r>
              <w:rPr>
                <w:rFonts w:ascii="宋体" w:hAnsi="宋体"/>
                <w:szCs w:val="21"/>
              </w:rPr>
              <w:t>2</w:t>
            </w:r>
            <w:r>
              <w:rPr>
                <w:rFonts w:hint="eastAsia" w:ascii="宋体" w:hAnsi="宋体" w:cs="MS Mincho"/>
                <w:szCs w:val="21"/>
              </w:rPr>
              <w:t>）</w:t>
            </w: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vMerge w:val="restart"/>
            <w:tcBorders>
              <w:top w:val="single" w:color="auto" w:sz="4" w:space="0"/>
              <w:left w:val="single" w:color="000000" w:sz="4" w:space="0"/>
              <w:right w:val="single" w:color="auto"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工学交替配套课程，不计入周课时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31</w:t>
            </w:r>
            <w:r>
              <w:rPr>
                <w:rFonts w:hint="eastAsia" w:ascii="宋体" w:hAnsi="宋体"/>
                <w:szCs w:val="21"/>
              </w:rPr>
              <w:t>1</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bottom"/>
          </w:tcPr>
          <w:p>
            <w:pPr>
              <w:spacing w:line="240" w:lineRule="atLeast"/>
              <w:jc w:val="center"/>
              <w:rPr>
                <w:rFonts w:ascii="宋体" w:hAnsi="宋体"/>
                <w:szCs w:val="21"/>
              </w:rPr>
            </w:pPr>
            <w:r>
              <w:rPr>
                <w:rFonts w:hint="eastAsia" w:ascii="宋体" w:hAnsi="宋体"/>
                <w:szCs w:val="21"/>
              </w:rPr>
              <w:t>职业素养教育</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bCs/>
                <w:szCs w:val="21"/>
              </w:rPr>
            </w:pPr>
            <w:r>
              <w:rPr>
                <w:rFonts w:ascii="宋体" w:hAnsi="宋体"/>
                <w:bCs/>
                <w:szCs w:val="21"/>
              </w:rPr>
              <w:t>2</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bCs/>
                <w:szCs w:val="21"/>
              </w:rPr>
            </w:pPr>
            <w:r>
              <w:rPr>
                <w:rFonts w:hint="eastAsia" w:ascii="宋体" w:hAnsi="宋体"/>
                <w:bCs/>
                <w:szCs w:val="21"/>
              </w:rPr>
              <w:t>32</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Cs/>
                <w:szCs w:val="21"/>
              </w:rPr>
            </w:pPr>
            <w:r>
              <w:rPr>
                <w:rFonts w:ascii="宋体" w:hAnsi="宋体"/>
                <w:bCs/>
                <w:szCs w:val="21"/>
              </w:rPr>
              <w:t>0</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2282" w:type="dxa"/>
            <w:vMerge w:val="continue"/>
            <w:tcBorders>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31</w:t>
            </w:r>
            <w:r>
              <w:rPr>
                <w:rFonts w:hint="eastAsia" w:ascii="宋体" w:hAnsi="宋体"/>
                <w:szCs w:val="21"/>
              </w:rPr>
              <w:t>2</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顶岗实习</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10</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200</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200</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ascii="宋体" w:hAnsi="宋体"/>
                <w:szCs w:val="21"/>
              </w:rPr>
              <w:t>10W</w:t>
            </w: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widowControl/>
              <w:jc w:val="center"/>
              <w:rPr>
                <w:rFonts w:ascii="宋体" w:hAnsi="宋体"/>
                <w:szCs w:val="21"/>
              </w:rPr>
            </w:pPr>
          </w:p>
        </w:tc>
        <w:tc>
          <w:tcPr>
            <w:tcW w:w="2107" w:type="dxa"/>
            <w:gridSpan w:val="2"/>
            <w:tcBorders>
              <w:top w:val="single" w:color="auto" w:sz="4" w:space="0"/>
              <w:left w:val="single" w:color="000000" w:sz="4" w:space="0"/>
              <w:bottom w:val="single" w:color="auto" w:sz="4" w:space="0"/>
              <w:right w:val="single" w:color="auto" w:sz="4" w:space="0"/>
            </w:tcBorders>
            <w:shd w:val="clear" w:color="auto" w:fill="FFFFFF"/>
            <w:vAlign w:val="bottom"/>
          </w:tcPr>
          <w:p>
            <w:pPr>
              <w:jc w:val="center"/>
              <w:rPr>
                <w:rFonts w:ascii="宋体" w:hAnsi="宋体"/>
                <w:szCs w:val="21"/>
              </w:rPr>
            </w:pPr>
            <w:r>
              <w:rPr>
                <w:rFonts w:hint="eastAsia" w:ascii="宋体" w:hAnsi="宋体"/>
                <w:szCs w:val="21"/>
              </w:rPr>
              <w:t>22</w:t>
            </w:r>
            <w:r>
              <w:rPr>
                <w:rFonts w:ascii="宋体" w:hAnsi="宋体"/>
                <w:szCs w:val="21"/>
              </w:rPr>
              <w:t>03</w:t>
            </w:r>
            <w:r>
              <w:rPr>
                <w:rFonts w:hint="eastAsia" w:ascii="宋体" w:hAnsi="宋体"/>
                <w:szCs w:val="21"/>
              </w:rPr>
              <w:t>28</w:t>
            </w:r>
            <w:r>
              <w:rPr>
                <w:rFonts w:ascii="宋体" w:hAnsi="宋体"/>
                <w:szCs w:val="21"/>
              </w:rPr>
              <w:t>31</w:t>
            </w:r>
            <w:r>
              <w:rPr>
                <w:rFonts w:hint="eastAsia" w:ascii="宋体" w:hAnsi="宋体"/>
                <w:szCs w:val="21"/>
              </w:rPr>
              <w:t>3</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毕业设计</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7</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140</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140</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7W</w:t>
            </w:r>
          </w:p>
        </w:tc>
        <w:tc>
          <w:tcPr>
            <w:tcW w:w="2282" w:type="dxa"/>
            <w:tcBorders>
              <w:top w:val="single" w:color="auto" w:sz="4" w:space="0"/>
              <w:left w:val="single" w:color="000000" w:sz="4" w:space="0"/>
              <w:bottom w:val="single" w:color="auto" w:sz="4" w:space="0"/>
              <w:right w:val="single" w:color="auto" w:sz="4" w:space="0"/>
            </w:tcBorders>
            <w:shd w:val="clear" w:color="auto" w:fill="FFFFFF"/>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9" w:hRule="atLeast"/>
          <w:jc w:val="center"/>
        </w:trPr>
        <w:tc>
          <w:tcPr>
            <w:tcW w:w="385" w:type="dxa"/>
            <w:vMerge w:val="continue"/>
            <w:tcBorders>
              <w:left w:val="single" w:color="auto" w:sz="4" w:space="0"/>
              <w:bottom w:val="single" w:color="auto" w:sz="4" w:space="0"/>
              <w:right w:val="single" w:color="000000" w:sz="4" w:space="0"/>
            </w:tcBorders>
            <w:shd w:val="clear" w:color="auto" w:fill="FFFFFF"/>
            <w:vAlign w:val="center"/>
          </w:tcPr>
          <w:p>
            <w:pPr>
              <w:widowControl/>
              <w:jc w:val="center"/>
              <w:rPr>
                <w:rFonts w:ascii="宋体" w:hAnsi="宋体"/>
                <w:szCs w:val="21"/>
              </w:rPr>
            </w:pPr>
          </w:p>
        </w:tc>
        <w:tc>
          <w:tcPr>
            <w:tcW w:w="450" w:type="dxa"/>
            <w:vMerge w:val="continue"/>
            <w:tcBorders>
              <w:left w:val="single" w:color="000000" w:sz="4" w:space="0"/>
              <w:bottom w:val="single" w:color="auto" w:sz="4" w:space="0"/>
              <w:right w:val="single" w:color="000000" w:sz="4" w:space="0"/>
            </w:tcBorders>
            <w:shd w:val="clear" w:color="auto" w:fill="FFFFFF"/>
            <w:vAlign w:val="center"/>
          </w:tcPr>
          <w:p>
            <w:pPr>
              <w:widowControl/>
              <w:jc w:val="center"/>
              <w:rPr>
                <w:rFonts w:ascii="宋体" w:hAnsi="宋体"/>
                <w:szCs w:val="21"/>
              </w:rPr>
            </w:pPr>
          </w:p>
        </w:tc>
        <w:tc>
          <w:tcPr>
            <w:tcW w:w="4839" w:type="dxa"/>
            <w:gridSpan w:val="3"/>
            <w:tcBorders>
              <w:top w:val="single" w:color="auto" w:sz="4" w:space="0"/>
              <w:left w:val="single" w:color="000000" w:sz="4" w:space="0"/>
              <w:bottom w:val="single" w:color="auto" w:sz="4" w:space="0"/>
              <w:right w:val="single" w:color="000000" w:sz="2"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专业课合计</w:t>
            </w:r>
          </w:p>
        </w:tc>
        <w:tc>
          <w:tcPr>
            <w:tcW w:w="582" w:type="dxa"/>
            <w:tcBorders>
              <w:top w:val="single" w:color="auto" w:sz="4" w:space="0"/>
              <w:left w:val="single" w:color="000000" w:sz="12"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r>
              <w:rPr>
                <w:rFonts w:hint="eastAsia" w:ascii="宋体" w:hAnsi="宋体"/>
                <w:szCs w:val="21"/>
              </w:rPr>
              <w:t>70</w:t>
            </w:r>
          </w:p>
        </w:tc>
        <w:tc>
          <w:tcPr>
            <w:tcW w:w="711" w:type="dxa"/>
            <w:tcBorders>
              <w:top w:val="single" w:color="auto" w:sz="4" w:space="0"/>
              <w:left w:val="single" w:color="000000" w:sz="12" w:space="0"/>
              <w:bottom w:val="single" w:color="auto" w:sz="4" w:space="0"/>
              <w:right w:val="single" w:color="000000" w:sz="4" w:space="0"/>
            </w:tcBorders>
            <w:shd w:val="clear" w:color="auto" w:fill="BEBEBE"/>
            <w:vAlign w:val="center"/>
          </w:tcPr>
          <w:p>
            <w:pPr>
              <w:jc w:val="center"/>
              <w:rPr>
                <w:rFonts w:ascii="宋体" w:hAnsi="宋体"/>
                <w:b/>
                <w:szCs w:val="21"/>
              </w:rPr>
            </w:pPr>
            <w:r>
              <w:rPr>
                <w:rFonts w:hint="eastAsia" w:ascii="宋体" w:hAnsi="宋体"/>
                <w:b/>
                <w:szCs w:val="21"/>
              </w:rPr>
              <w:t>1280</w:t>
            </w:r>
          </w:p>
        </w:tc>
        <w:tc>
          <w:tcPr>
            <w:tcW w:w="701" w:type="dxa"/>
            <w:tcBorders>
              <w:top w:val="single" w:color="auto" w:sz="4" w:space="0"/>
              <w:left w:val="single" w:color="000000" w:sz="4" w:space="0"/>
              <w:bottom w:val="single" w:color="auto" w:sz="4" w:space="0"/>
              <w:right w:val="single" w:color="000000" w:sz="4" w:space="0"/>
            </w:tcBorders>
            <w:shd w:val="clear" w:color="auto" w:fill="BEBEBE"/>
            <w:vAlign w:val="center"/>
          </w:tcPr>
          <w:p>
            <w:pPr>
              <w:jc w:val="center"/>
              <w:rPr>
                <w:rFonts w:ascii="宋体" w:hAnsi="宋体"/>
                <w:b/>
                <w:szCs w:val="21"/>
              </w:rPr>
            </w:pPr>
            <w:r>
              <w:rPr>
                <w:rFonts w:hint="eastAsia" w:ascii="宋体" w:hAnsi="宋体"/>
                <w:b/>
                <w:szCs w:val="21"/>
              </w:rPr>
              <w:t>924</w:t>
            </w:r>
          </w:p>
        </w:tc>
        <w:tc>
          <w:tcPr>
            <w:tcW w:w="766" w:type="dxa"/>
            <w:tcBorders>
              <w:top w:val="single" w:color="auto" w:sz="4" w:space="0"/>
              <w:left w:val="single" w:color="000000" w:sz="4" w:space="0"/>
              <w:bottom w:val="single" w:color="auto" w:sz="4" w:space="0"/>
              <w:right w:val="single" w:color="000000" w:sz="4" w:space="0"/>
            </w:tcBorders>
            <w:shd w:val="clear" w:color="auto" w:fill="BEBEBE"/>
            <w:vAlign w:val="center"/>
          </w:tcPr>
          <w:p>
            <w:pPr>
              <w:jc w:val="center"/>
              <w:rPr>
                <w:rFonts w:ascii="宋体" w:hAnsi="宋体"/>
                <w:b/>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BEBEBE"/>
            <w:vAlign w:val="center"/>
          </w:tcPr>
          <w:p>
            <w:pPr>
              <w:jc w:val="center"/>
              <w:rPr>
                <w:rFonts w:ascii="宋体" w:hAnsi="宋体" w:cs="宋体"/>
                <w:b/>
                <w:szCs w:val="21"/>
              </w:rPr>
            </w:pPr>
            <w:r>
              <w:rPr>
                <w:rFonts w:hint="eastAsia" w:ascii="宋体" w:hAnsi="宋体" w:cs="宋体"/>
                <w:b/>
                <w:szCs w:val="21"/>
              </w:rPr>
              <w:t>3</w:t>
            </w:r>
          </w:p>
        </w:tc>
        <w:tc>
          <w:tcPr>
            <w:tcW w:w="747" w:type="dxa"/>
            <w:tcBorders>
              <w:top w:val="single" w:color="auto" w:sz="4" w:space="0"/>
              <w:left w:val="single" w:color="000000" w:sz="4" w:space="0"/>
              <w:bottom w:val="single" w:color="auto" w:sz="4" w:space="0"/>
              <w:right w:val="single" w:color="000000" w:sz="4" w:space="0"/>
            </w:tcBorders>
            <w:shd w:val="clear" w:color="auto" w:fill="BEBEBE"/>
            <w:vAlign w:val="center"/>
          </w:tcPr>
          <w:p>
            <w:pPr>
              <w:rPr>
                <w:rFonts w:ascii="宋体" w:hAnsi="宋体" w:cs="宋体"/>
                <w:b/>
                <w:szCs w:val="21"/>
              </w:rPr>
            </w:pPr>
            <w:r>
              <w:rPr>
                <w:rFonts w:ascii="宋体" w:hAnsi="宋体"/>
                <w:b/>
                <w:szCs w:val="21"/>
              </w:rPr>
              <w:t>1</w:t>
            </w:r>
            <w:r>
              <w:rPr>
                <w:rFonts w:hint="eastAsia" w:ascii="宋体" w:hAnsi="宋体"/>
                <w:b/>
                <w:szCs w:val="21"/>
              </w:rPr>
              <w:t>2</w:t>
            </w:r>
            <w:r>
              <w:rPr>
                <w:rFonts w:ascii="宋体" w:hAnsi="宋体"/>
                <w:b/>
                <w:szCs w:val="21"/>
              </w:rPr>
              <w:t>+</w:t>
            </w:r>
            <w:r>
              <w:rPr>
                <w:rFonts w:hint="eastAsia" w:ascii="宋体" w:hAnsi="宋体"/>
                <w:b/>
                <w:szCs w:val="21"/>
              </w:rPr>
              <w:t>1</w:t>
            </w:r>
            <w:r>
              <w:rPr>
                <w:rFonts w:ascii="宋体" w:hAnsi="宋体"/>
                <w:b/>
                <w:szCs w:val="21"/>
              </w:rPr>
              <w:t>W</w:t>
            </w:r>
          </w:p>
        </w:tc>
        <w:tc>
          <w:tcPr>
            <w:tcW w:w="804" w:type="dxa"/>
            <w:tcBorders>
              <w:top w:val="single" w:color="auto" w:sz="4" w:space="0"/>
              <w:left w:val="single" w:color="000000" w:sz="4" w:space="0"/>
              <w:bottom w:val="single" w:color="auto" w:sz="4" w:space="0"/>
              <w:right w:val="single" w:color="000000" w:sz="4" w:space="0"/>
            </w:tcBorders>
            <w:shd w:val="clear" w:color="auto" w:fill="BEBEBE"/>
            <w:vAlign w:val="center"/>
          </w:tcPr>
          <w:p>
            <w:pPr>
              <w:jc w:val="center"/>
              <w:rPr>
                <w:rFonts w:ascii="宋体" w:hAnsi="宋体" w:cs="宋体"/>
                <w:b/>
                <w:szCs w:val="21"/>
              </w:rPr>
            </w:pPr>
            <w:r>
              <w:rPr>
                <w:rFonts w:ascii="宋体" w:hAnsi="宋体"/>
                <w:b/>
                <w:szCs w:val="21"/>
              </w:rPr>
              <w:t>1</w:t>
            </w:r>
            <w:r>
              <w:rPr>
                <w:rFonts w:hint="eastAsia" w:ascii="宋体" w:hAnsi="宋体"/>
                <w:b/>
                <w:szCs w:val="21"/>
              </w:rPr>
              <w:t>2</w:t>
            </w:r>
            <w:r>
              <w:rPr>
                <w:rFonts w:ascii="宋体" w:hAnsi="宋体"/>
                <w:b/>
                <w:szCs w:val="21"/>
              </w:rPr>
              <w:t>+</w:t>
            </w:r>
            <w:r>
              <w:rPr>
                <w:rFonts w:hint="eastAsia" w:ascii="宋体" w:hAnsi="宋体"/>
                <w:b/>
                <w:szCs w:val="21"/>
              </w:rPr>
              <w:t>3</w:t>
            </w:r>
            <w:r>
              <w:rPr>
                <w:rFonts w:ascii="宋体" w:hAnsi="宋体"/>
                <w:b/>
                <w:szCs w:val="21"/>
              </w:rPr>
              <w:t>W</w:t>
            </w:r>
          </w:p>
        </w:tc>
        <w:tc>
          <w:tcPr>
            <w:tcW w:w="636"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240" w:lineRule="atLeast"/>
              <w:jc w:val="center"/>
              <w:rPr>
                <w:rFonts w:ascii="宋体" w:hAnsi="宋体"/>
                <w:b/>
                <w:szCs w:val="21"/>
              </w:rPr>
            </w:pPr>
            <w:r>
              <w:rPr>
                <w:rFonts w:ascii="宋体" w:hAnsi="宋体"/>
                <w:b/>
                <w:szCs w:val="21"/>
              </w:rPr>
              <w:t>1</w:t>
            </w:r>
            <w:r>
              <w:rPr>
                <w:rFonts w:hint="eastAsia" w:ascii="宋体" w:hAnsi="宋体"/>
                <w:b/>
                <w:szCs w:val="21"/>
              </w:rPr>
              <w:t>7</w:t>
            </w:r>
            <w:r>
              <w:rPr>
                <w:rFonts w:ascii="宋体" w:hAnsi="宋体"/>
                <w:b/>
                <w:szCs w:val="21"/>
              </w:rPr>
              <w:t>W</w:t>
            </w:r>
          </w:p>
        </w:tc>
        <w:tc>
          <w:tcPr>
            <w:tcW w:w="564"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240" w:lineRule="atLeast"/>
              <w:jc w:val="center"/>
              <w:rPr>
                <w:rFonts w:ascii="宋体" w:hAnsi="宋体"/>
                <w:b/>
                <w:szCs w:val="21"/>
              </w:rPr>
            </w:pPr>
            <w:r>
              <w:rPr>
                <w:rFonts w:ascii="宋体" w:hAnsi="宋体"/>
                <w:b/>
                <w:szCs w:val="21"/>
              </w:rPr>
              <w:t>1</w:t>
            </w:r>
            <w:r>
              <w:rPr>
                <w:rFonts w:hint="eastAsia" w:ascii="宋体" w:hAnsi="宋体"/>
                <w:b/>
                <w:szCs w:val="21"/>
              </w:rPr>
              <w:t>7</w:t>
            </w:r>
            <w:r>
              <w:rPr>
                <w:rFonts w:ascii="宋体" w:hAnsi="宋体"/>
                <w:b/>
                <w:szCs w:val="21"/>
              </w:rPr>
              <w:t>W</w:t>
            </w:r>
          </w:p>
        </w:tc>
        <w:tc>
          <w:tcPr>
            <w:tcW w:w="2282" w:type="dxa"/>
            <w:tcBorders>
              <w:top w:val="single" w:color="auto" w:sz="4" w:space="0"/>
              <w:left w:val="single" w:color="000000" w:sz="4" w:space="0"/>
              <w:bottom w:val="single" w:color="auto" w:sz="4" w:space="0"/>
              <w:right w:val="single" w:color="auto" w:sz="4" w:space="0"/>
            </w:tcBorders>
            <w:shd w:val="clear" w:color="auto" w:fill="BEBEBE"/>
            <w:vAlign w:val="center"/>
          </w:tcPr>
          <w:p>
            <w:pPr>
              <w:spacing w:line="240" w:lineRule="atLeast"/>
              <w:jc w:val="center"/>
              <w:rPr>
                <w:rFonts w:ascii="宋体" w:hAns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174" w:hRule="atLeast"/>
          <w:jc w:val="center"/>
        </w:trPr>
        <w:tc>
          <w:tcPr>
            <w:tcW w:w="385" w:type="dxa"/>
            <w:vMerge w:val="restart"/>
            <w:tcBorders>
              <w:top w:val="single" w:color="auto" w:sz="4" w:space="0"/>
              <w:left w:val="single" w:color="auto" w:sz="4" w:space="0"/>
              <w:right w:val="single" w:color="000000" w:sz="4" w:space="0"/>
            </w:tcBorders>
            <w:shd w:val="clear" w:color="auto" w:fill="FFFFFF"/>
            <w:vAlign w:val="center"/>
          </w:tcPr>
          <w:p>
            <w:pPr>
              <w:widowControl/>
              <w:jc w:val="center"/>
              <w:rPr>
                <w:rFonts w:ascii="宋体" w:hAnsi="宋体"/>
                <w:szCs w:val="21"/>
              </w:rPr>
            </w:pPr>
            <w:r>
              <w:rPr>
                <w:rFonts w:hint="eastAsia" w:ascii="宋体" w:hAnsi="宋体"/>
                <w:szCs w:val="21"/>
              </w:rPr>
              <w:t>专</w:t>
            </w:r>
          </w:p>
          <w:p>
            <w:pPr>
              <w:widowControl/>
              <w:jc w:val="center"/>
              <w:rPr>
                <w:rFonts w:ascii="宋体" w:hAnsi="宋体"/>
                <w:szCs w:val="21"/>
              </w:rPr>
            </w:pPr>
            <w:r>
              <w:rPr>
                <w:rFonts w:hint="eastAsia" w:ascii="宋体" w:hAnsi="宋体"/>
                <w:szCs w:val="21"/>
              </w:rPr>
              <w:t>业</w:t>
            </w:r>
          </w:p>
          <w:p>
            <w:pPr>
              <w:widowControl/>
              <w:jc w:val="center"/>
              <w:rPr>
                <w:rFonts w:ascii="宋体" w:hAnsi="宋体"/>
                <w:szCs w:val="21"/>
              </w:rPr>
            </w:pPr>
            <w:r>
              <w:rPr>
                <w:rFonts w:hint="eastAsia" w:ascii="宋体" w:hAnsi="宋体"/>
                <w:szCs w:val="21"/>
              </w:rPr>
              <w:t>拓</w:t>
            </w:r>
          </w:p>
          <w:p>
            <w:pPr>
              <w:widowControl/>
              <w:jc w:val="center"/>
              <w:rPr>
                <w:rFonts w:ascii="宋体" w:hAnsi="宋体"/>
                <w:szCs w:val="21"/>
              </w:rPr>
            </w:pPr>
            <w:r>
              <w:rPr>
                <w:rFonts w:hint="eastAsia" w:ascii="宋体" w:hAnsi="宋体"/>
                <w:szCs w:val="21"/>
              </w:rPr>
              <w:t>展</w:t>
            </w:r>
          </w:p>
          <w:p>
            <w:pPr>
              <w:widowControl/>
              <w:jc w:val="center"/>
              <w:rPr>
                <w:rFonts w:ascii="宋体" w:hAnsi="宋体"/>
                <w:szCs w:val="21"/>
              </w:rPr>
            </w:pPr>
            <w:r>
              <w:rPr>
                <w:rFonts w:hint="eastAsia" w:ascii="宋体" w:hAnsi="宋体"/>
                <w:szCs w:val="21"/>
              </w:rPr>
              <w:t>课</w:t>
            </w:r>
          </w:p>
          <w:p>
            <w:pPr>
              <w:jc w:val="center"/>
              <w:rPr>
                <w:rFonts w:ascii="宋体" w:hAnsi="宋体"/>
                <w:szCs w:val="21"/>
              </w:rPr>
            </w:pPr>
            <w:r>
              <w:rPr>
                <w:rFonts w:hint="eastAsia" w:ascii="宋体" w:hAnsi="宋体"/>
                <w:szCs w:val="21"/>
              </w:rPr>
              <w:t xml:space="preserve"> </w:t>
            </w:r>
          </w:p>
        </w:tc>
        <w:tc>
          <w:tcPr>
            <w:tcW w:w="450" w:type="dxa"/>
            <w:vMerge w:val="restart"/>
            <w:tcBorders>
              <w:top w:val="single" w:color="auto" w:sz="4" w:space="0"/>
              <w:left w:val="single" w:color="000000"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选</w:t>
            </w:r>
          </w:p>
          <w:p>
            <w:pPr>
              <w:jc w:val="center"/>
              <w:rPr>
                <w:rFonts w:ascii="宋体" w:hAnsi="宋体"/>
                <w:szCs w:val="21"/>
              </w:rPr>
            </w:pPr>
            <w:r>
              <w:rPr>
                <w:rFonts w:hint="eastAsia" w:ascii="宋体" w:hAnsi="宋体"/>
                <w:szCs w:val="21"/>
              </w:rPr>
              <w:t>修</w:t>
            </w:r>
          </w:p>
          <w:p>
            <w:pPr>
              <w:jc w:val="center"/>
              <w:rPr>
                <w:rFonts w:ascii="宋体" w:hAnsi="宋体"/>
                <w:szCs w:val="21"/>
              </w:rPr>
            </w:pPr>
            <w:r>
              <w:rPr>
                <w:rFonts w:hint="eastAsia" w:ascii="宋体" w:hAnsi="宋体"/>
                <w:szCs w:val="21"/>
              </w:rPr>
              <w:t>课</w:t>
            </w:r>
          </w:p>
        </w:tc>
        <w:tc>
          <w:tcPr>
            <w:tcW w:w="870" w:type="dxa"/>
            <w:vMerge w:val="restart"/>
            <w:tcBorders>
              <w:top w:val="single" w:color="auto" w:sz="4" w:space="0"/>
              <w:left w:val="single" w:color="000000"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工程管理类</w:t>
            </w: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GLFY401</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hint="eastAsia" w:ascii="宋体" w:hAnsi="宋体" w:eastAsia="宋体"/>
                <w:szCs w:val="21"/>
                <w:lang w:eastAsia="zh-CN"/>
              </w:rPr>
            </w:pPr>
            <w:r>
              <w:rPr>
                <w:rFonts w:hint="eastAsia" w:ascii="宋体" w:hAnsi="宋体"/>
                <w:szCs w:val="21"/>
                <w:lang w:eastAsia="zh-CN"/>
              </w:rPr>
              <w:t>建筑工程</w:t>
            </w:r>
            <w:r>
              <w:rPr>
                <w:rFonts w:hint="eastAsia" w:ascii="宋体" w:hAnsi="宋体"/>
                <w:szCs w:val="21"/>
                <w:lang w:val="en-US" w:eastAsia="zh-CN"/>
              </w:rPr>
              <w:t>技术</w:t>
            </w:r>
            <w:r>
              <w:rPr>
                <w:rFonts w:hint="eastAsia" w:ascii="宋体" w:hAnsi="宋体"/>
                <w:szCs w:val="21"/>
                <w:lang w:eastAsia="zh-CN"/>
              </w:rPr>
              <w:t>资料管理</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jc w:val="center"/>
              <w:rPr>
                <w:rFonts w:ascii="宋体" w:hAnsi="宋体"/>
                <w:szCs w:val="21"/>
              </w:rPr>
            </w:pPr>
            <w:r>
              <w:rPr>
                <w:rFonts w:ascii="宋体" w:hAnsi="宋体"/>
                <w:szCs w:val="21"/>
              </w:rPr>
              <w:t>4</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widowControl/>
              <w:jc w:val="center"/>
              <w:rPr>
                <w:rFonts w:ascii="宋体" w:hAnsi="宋体"/>
                <w:kern w:val="0"/>
                <w:szCs w:val="21"/>
              </w:rPr>
            </w:pPr>
            <w:r>
              <w:rPr>
                <w:rFonts w:hint="eastAsia" w:ascii="宋体" w:hAnsi="宋体"/>
                <w:szCs w:val="21"/>
              </w:rPr>
              <w:t>64</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32</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ascii="宋体" w:hAnsi="宋体"/>
                <w:szCs w:val="21"/>
              </w:rPr>
              <w:t>4</w:t>
            </w: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iCs/>
                <w:color w:val="000000"/>
                <w:sz w:val="18"/>
                <w:szCs w:val="18"/>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 w:val="18"/>
                <w:szCs w:val="18"/>
              </w:rPr>
            </w:pPr>
          </w:p>
        </w:tc>
        <w:tc>
          <w:tcPr>
            <w:tcW w:w="2282" w:type="dxa"/>
            <w:tcBorders>
              <w:top w:val="single" w:color="auto" w:sz="4" w:space="0"/>
              <w:left w:val="single" w:color="000000" w:sz="4" w:space="0"/>
              <w:right w:val="single" w:color="auto"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870" w:type="dxa"/>
            <w:vMerge w:val="continue"/>
            <w:tcBorders>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GLFY402</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cs="宋体"/>
                <w:szCs w:val="21"/>
              </w:rPr>
            </w:pPr>
            <w:r>
              <w:rPr>
                <w:rFonts w:hint="eastAsia" w:ascii="宋体" w:hAnsi="宋体"/>
                <w:szCs w:val="21"/>
              </w:rPr>
              <w:t>新型建筑工业化概论</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jc w:val="center"/>
              <w:rPr>
                <w:rFonts w:ascii="宋体" w:hAnsi="宋体"/>
                <w:szCs w:val="21"/>
              </w:rPr>
            </w:pPr>
            <w:r>
              <w:rPr>
                <w:rFonts w:ascii="宋体" w:hAnsi="宋体"/>
                <w:szCs w:val="21"/>
              </w:rPr>
              <w:t>4</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widowControl/>
              <w:jc w:val="center"/>
              <w:rPr>
                <w:rFonts w:ascii="宋体" w:hAnsi="宋体"/>
                <w:kern w:val="0"/>
                <w:szCs w:val="21"/>
              </w:rPr>
            </w:pPr>
            <w:r>
              <w:rPr>
                <w:rFonts w:hint="eastAsia" w:ascii="宋体" w:hAnsi="宋体"/>
                <w:szCs w:val="21"/>
              </w:rPr>
              <w:t>64</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32</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ascii="宋体" w:hAnsi="宋体"/>
                <w:szCs w:val="21"/>
              </w:rPr>
              <w:t>4</w:t>
            </w: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iCs/>
                <w:color w:val="000000"/>
                <w:sz w:val="18"/>
                <w:szCs w:val="18"/>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 w:val="18"/>
                <w:szCs w:val="18"/>
              </w:rPr>
            </w:pPr>
          </w:p>
        </w:tc>
        <w:tc>
          <w:tcPr>
            <w:tcW w:w="2282" w:type="dxa"/>
            <w:tcBorders>
              <w:left w:val="single" w:color="000000" w:sz="4" w:space="0"/>
              <w:right w:val="single" w:color="auto" w:sz="4" w:space="0"/>
            </w:tcBorders>
            <w:shd w:val="clear" w:color="auto" w:fill="FFFFFF"/>
            <w:vAlign w:val="center"/>
          </w:tcPr>
          <w:p>
            <w:pPr>
              <w:spacing w:line="240" w:lineRule="atLeast"/>
              <w:jc w:val="center"/>
              <w:rPr>
                <w:rFonts w:ascii="宋体" w:hAnsi="宋体"/>
                <w:i/>
                <w:szCs w:val="21"/>
                <w:u w:val="single"/>
              </w:rPr>
            </w:pPr>
            <w:r>
              <w:rPr>
                <w:rFonts w:hint="eastAsia" w:ascii="宋体" w:hAnsi="宋体"/>
                <w:szCs w:val="21"/>
              </w:rPr>
              <w:t>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870" w:type="dxa"/>
            <w:vMerge w:val="restart"/>
            <w:tcBorders>
              <w:top w:val="single" w:color="auto" w:sz="4" w:space="0"/>
              <w:left w:val="single" w:color="000000"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市政精装类</w:t>
            </w: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GLFY40</w:t>
            </w:r>
            <w:r>
              <w:rPr>
                <w:rFonts w:hint="eastAsia" w:ascii="宋体" w:hAnsi="宋体"/>
                <w:szCs w:val="21"/>
              </w:rPr>
              <w:t>3</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line="240" w:lineRule="atLeast"/>
              <w:jc w:val="center"/>
              <w:rPr>
                <w:rFonts w:ascii="宋体" w:hAnsi="宋体"/>
                <w:szCs w:val="21"/>
              </w:rPr>
            </w:pPr>
            <w:r>
              <w:rPr>
                <w:rFonts w:hint="eastAsia" w:ascii="宋体" w:hAnsi="宋体"/>
                <w:szCs w:val="21"/>
              </w:rPr>
              <w:t>市政工程计量与计价</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jc w:val="center"/>
              <w:rPr>
                <w:rFonts w:ascii="宋体" w:hAnsi="宋体"/>
                <w:szCs w:val="21"/>
              </w:rPr>
            </w:pPr>
            <w:r>
              <w:rPr>
                <w:rFonts w:ascii="宋体" w:hAnsi="宋体"/>
                <w:szCs w:val="21"/>
              </w:rPr>
              <w:t>4</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widowControl/>
              <w:jc w:val="center"/>
              <w:rPr>
                <w:rFonts w:ascii="宋体" w:hAnsi="宋体"/>
                <w:kern w:val="0"/>
                <w:szCs w:val="21"/>
              </w:rPr>
            </w:pPr>
            <w:r>
              <w:rPr>
                <w:rFonts w:hint="eastAsia" w:ascii="宋体" w:hAnsi="宋体"/>
                <w:szCs w:val="21"/>
              </w:rPr>
              <w:t>64</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32</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ascii="宋体" w:hAnsi="宋体"/>
                <w:szCs w:val="21"/>
              </w:rPr>
              <w:t>4</w:t>
            </w: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iCs/>
                <w:color w:val="000000"/>
                <w:sz w:val="18"/>
                <w:szCs w:val="18"/>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 w:val="18"/>
                <w:szCs w:val="18"/>
              </w:rPr>
            </w:pPr>
          </w:p>
        </w:tc>
        <w:tc>
          <w:tcPr>
            <w:tcW w:w="2282" w:type="dxa"/>
            <w:tcBorders>
              <w:left w:val="single" w:color="000000" w:sz="4" w:space="0"/>
              <w:right w:val="single" w:color="auto" w:sz="4" w:space="0"/>
            </w:tcBorders>
            <w:shd w:val="clear" w:color="auto" w:fill="FFFFFF"/>
            <w:vAlign w:val="center"/>
          </w:tcPr>
          <w:p>
            <w:pPr>
              <w:spacing w:line="240" w:lineRule="atLeast"/>
              <w:jc w:val="center"/>
              <w:rPr>
                <w:rFonts w:ascii="宋体" w:hAnsi="宋体"/>
                <w:szCs w:val="21"/>
              </w:rPr>
            </w:pPr>
            <w:r>
              <w:rPr>
                <w:rFonts w:hint="eastAsia" w:ascii="宋体" w:hAnsi="宋体"/>
                <w:szCs w:val="21"/>
              </w:rPr>
              <w:t>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90" w:hRule="atLeast"/>
          <w:jc w:val="center"/>
        </w:trPr>
        <w:tc>
          <w:tcPr>
            <w:tcW w:w="385" w:type="dxa"/>
            <w:vMerge w:val="continue"/>
            <w:tcBorders>
              <w:left w:val="single" w:color="auto" w:sz="4" w:space="0"/>
              <w:right w:val="single" w:color="000000" w:sz="4" w:space="0"/>
            </w:tcBorders>
            <w:shd w:val="clear" w:color="auto" w:fill="FFFFFF"/>
            <w:vAlign w:val="center"/>
          </w:tcPr>
          <w:p>
            <w:pPr>
              <w:jc w:val="center"/>
              <w:rPr>
                <w:rFonts w:ascii="宋体" w:hAnsi="宋体"/>
                <w:szCs w:val="21"/>
              </w:rPr>
            </w:pPr>
          </w:p>
        </w:tc>
        <w:tc>
          <w:tcPr>
            <w:tcW w:w="450" w:type="dxa"/>
            <w:vMerge w:val="continue"/>
            <w:tcBorders>
              <w:left w:val="single" w:color="000000" w:sz="4" w:space="0"/>
              <w:right w:val="single" w:color="000000" w:sz="4" w:space="0"/>
            </w:tcBorders>
            <w:shd w:val="clear" w:color="auto" w:fill="FFFFFF"/>
            <w:vAlign w:val="center"/>
          </w:tcPr>
          <w:p>
            <w:pPr>
              <w:jc w:val="center"/>
              <w:rPr>
                <w:rFonts w:ascii="宋体" w:hAnsi="宋体"/>
                <w:szCs w:val="21"/>
              </w:rPr>
            </w:pPr>
          </w:p>
        </w:tc>
        <w:tc>
          <w:tcPr>
            <w:tcW w:w="870" w:type="dxa"/>
            <w:vMerge w:val="continue"/>
            <w:tcBorders>
              <w:left w:val="single" w:color="000000" w:sz="4" w:space="0"/>
              <w:bottom w:val="single" w:color="auto" w:sz="4" w:space="0"/>
              <w:right w:val="single" w:color="auto" w:sz="4" w:space="0"/>
            </w:tcBorders>
            <w:shd w:val="clear" w:color="auto" w:fill="FFFFFF"/>
            <w:vAlign w:val="center"/>
          </w:tcPr>
          <w:p>
            <w:pPr>
              <w:jc w:val="center"/>
              <w:rPr>
                <w:rFonts w:ascii="宋体" w:hAnsi="宋体"/>
                <w:szCs w:val="21"/>
              </w:rPr>
            </w:pPr>
          </w:p>
        </w:tc>
        <w:tc>
          <w:tcPr>
            <w:tcW w:w="123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szCs w:val="21"/>
              </w:rPr>
            </w:pPr>
            <w:r>
              <w:rPr>
                <w:rFonts w:hint="eastAsia" w:ascii="宋体" w:hAnsi="宋体"/>
                <w:szCs w:val="21"/>
              </w:rPr>
              <w:t>22</w:t>
            </w:r>
            <w:r>
              <w:rPr>
                <w:rFonts w:ascii="宋体" w:hAnsi="宋体"/>
                <w:szCs w:val="21"/>
              </w:rPr>
              <w:t>GLFY4</w:t>
            </w:r>
            <w:r>
              <w:rPr>
                <w:rFonts w:hint="eastAsia" w:ascii="宋体" w:hAnsi="宋体"/>
                <w:szCs w:val="21"/>
              </w:rPr>
              <w:t>04</w:t>
            </w:r>
          </w:p>
        </w:tc>
        <w:tc>
          <w:tcPr>
            <w:tcW w:w="2732" w:type="dxa"/>
            <w:tcBorders>
              <w:top w:val="single" w:color="auto" w:sz="4" w:space="0"/>
              <w:left w:val="single" w:color="auto" w:sz="4" w:space="0"/>
              <w:bottom w:val="single" w:color="auto" w:sz="4" w:space="0"/>
              <w:right w:val="single" w:color="000000" w:sz="2" w:space="0"/>
            </w:tcBorders>
            <w:shd w:val="clear" w:color="auto" w:fill="FFFFFF"/>
            <w:vAlign w:val="center"/>
          </w:tcPr>
          <w:p>
            <w:pPr>
              <w:spacing w:before="100" w:beforeAutospacing="1" w:after="100" w:afterAutospacing="1" w:line="240" w:lineRule="atLeast"/>
              <w:jc w:val="center"/>
              <w:rPr>
                <w:rFonts w:hint="eastAsia" w:ascii="宋体" w:hAnsi="宋体" w:eastAsia="宋体" w:cs="MS Mincho"/>
                <w:iCs/>
                <w:szCs w:val="21"/>
                <w:lang w:eastAsia="zh-CN"/>
              </w:rPr>
            </w:pPr>
            <w:r>
              <w:rPr>
                <w:rFonts w:hint="eastAsia" w:ascii="宋体" w:hAnsi="宋体"/>
                <w:iCs/>
                <w:szCs w:val="21"/>
                <w:lang w:eastAsia="zh-CN"/>
              </w:rPr>
              <w:t>建筑装饰工程计量与计价</w:t>
            </w:r>
          </w:p>
        </w:tc>
        <w:tc>
          <w:tcPr>
            <w:tcW w:w="582" w:type="dxa"/>
            <w:tcBorders>
              <w:top w:val="single" w:color="auto" w:sz="4" w:space="0"/>
              <w:left w:val="single" w:color="000000" w:sz="12" w:space="0"/>
              <w:bottom w:val="single" w:color="auto" w:sz="4" w:space="0"/>
              <w:right w:val="single" w:color="000000" w:sz="4" w:space="0"/>
            </w:tcBorders>
            <w:shd w:val="clear" w:color="auto" w:fill="FFFFFF"/>
            <w:vAlign w:val="center"/>
          </w:tcPr>
          <w:p>
            <w:pPr>
              <w:jc w:val="center"/>
              <w:rPr>
                <w:rFonts w:ascii="宋体" w:hAnsi="宋体"/>
                <w:szCs w:val="21"/>
              </w:rPr>
            </w:pPr>
            <w:r>
              <w:rPr>
                <w:rFonts w:ascii="宋体" w:hAnsi="宋体"/>
                <w:szCs w:val="21"/>
              </w:rPr>
              <w:t>4</w:t>
            </w:r>
          </w:p>
        </w:tc>
        <w:tc>
          <w:tcPr>
            <w:tcW w:w="711" w:type="dxa"/>
            <w:tcBorders>
              <w:top w:val="single" w:color="auto" w:sz="4" w:space="0"/>
              <w:left w:val="single" w:color="000000" w:sz="12" w:space="0"/>
              <w:bottom w:val="single" w:color="auto" w:sz="4" w:space="0"/>
              <w:right w:val="single" w:color="000000" w:sz="4" w:space="0"/>
            </w:tcBorders>
            <w:shd w:val="clear" w:color="auto" w:fill="FFFFFF"/>
            <w:vAlign w:val="center"/>
          </w:tcPr>
          <w:p>
            <w:pPr>
              <w:widowControl/>
              <w:jc w:val="center"/>
              <w:rPr>
                <w:rFonts w:ascii="宋体" w:hAnsi="宋体"/>
                <w:kern w:val="0"/>
                <w:szCs w:val="21"/>
              </w:rPr>
            </w:pPr>
            <w:r>
              <w:rPr>
                <w:rFonts w:hint="eastAsia" w:ascii="宋体" w:hAnsi="宋体"/>
                <w:szCs w:val="21"/>
              </w:rPr>
              <w:t>64</w:t>
            </w:r>
          </w:p>
        </w:tc>
        <w:tc>
          <w:tcPr>
            <w:tcW w:w="701" w:type="dxa"/>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r>
              <w:rPr>
                <w:rFonts w:hint="eastAsia" w:ascii="宋体" w:hAnsi="宋体"/>
                <w:szCs w:val="21"/>
              </w:rPr>
              <w:t>32</w:t>
            </w:r>
          </w:p>
        </w:tc>
        <w:tc>
          <w:tcPr>
            <w:tcW w:w="76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p>
        </w:tc>
        <w:tc>
          <w:tcPr>
            <w:tcW w:w="80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240" w:lineRule="atLeast"/>
              <w:jc w:val="center"/>
              <w:rPr>
                <w:rFonts w:ascii="宋体" w:hAnsi="宋体"/>
                <w:color w:val="000000"/>
                <w:szCs w:val="21"/>
              </w:rPr>
            </w:pPr>
            <w:r>
              <w:rPr>
                <w:rFonts w:ascii="宋体" w:hAnsi="宋体"/>
                <w:szCs w:val="21"/>
              </w:rPr>
              <w:t>4</w:t>
            </w:r>
          </w:p>
        </w:tc>
        <w:tc>
          <w:tcPr>
            <w:tcW w:w="636"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iCs/>
                <w:color w:val="000000"/>
                <w:sz w:val="18"/>
                <w:szCs w:val="18"/>
              </w:rPr>
            </w:pPr>
          </w:p>
        </w:tc>
        <w:tc>
          <w:tcPr>
            <w:tcW w:w="564" w:type="dxa"/>
            <w:tcBorders>
              <w:top w:val="single" w:color="auto" w:sz="4" w:space="0"/>
              <w:left w:val="single" w:color="000000" w:sz="4" w:space="0"/>
              <w:bottom w:val="single" w:color="auto" w:sz="4" w:space="0"/>
              <w:right w:val="single" w:color="000000" w:sz="4" w:space="0"/>
            </w:tcBorders>
            <w:shd w:val="clear" w:color="auto" w:fill="FFFFFF"/>
            <w:vAlign w:val="center"/>
          </w:tcPr>
          <w:p>
            <w:pPr>
              <w:spacing w:line="0" w:lineRule="atLeast"/>
              <w:jc w:val="center"/>
              <w:rPr>
                <w:rFonts w:ascii="宋体" w:hAnsi="宋体"/>
                <w:color w:val="000000"/>
                <w:sz w:val="18"/>
                <w:szCs w:val="18"/>
              </w:rPr>
            </w:pPr>
          </w:p>
        </w:tc>
        <w:tc>
          <w:tcPr>
            <w:tcW w:w="2282" w:type="dxa"/>
            <w:tcBorders>
              <w:left w:val="single" w:color="000000" w:sz="4" w:space="0"/>
              <w:right w:val="single" w:color="auto" w:sz="4" w:space="0"/>
            </w:tcBorders>
            <w:shd w:val="clear" w:color="auto" w:fill="FFFFFF"/>
            <w:vAlign w:val="center"/>
          </w:tcPr>
          <w:p>
            <w:pPr>
              <w:spacing w:line="240" w:lineRule="atLeast"/>
              <w:jc w:val="center"/>
              <w:rPr>
                <w:rFonts w:ascii="宋体" w:hAnsi="宋体"/>
                <w:i/>
                <w:szCs w:val="21"/>
                <w:u w:val="single"/>
              </w:rPr>
            </w:pPr>
            <w:r>
              <w:rPr>
                <w:rFonts w:hint="eastAsia" w:ascii="宋体" w:hAnsi="宋体"/>
                <w:szCs w:val="21"/>
              </w:rPr>
              <w:t>限选课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Height w:val="207" w:hRule="atLeast"/>
          <w:jc w:val="center"/>
        </w:trPr>
        <w:tc>
          <w:tcPr>
            <w:tcW w:w="385" w:type="dxa"/>
            <w:vMerge w:val="continue"/>
            <w:tcBorders>
              <w:left w:val="single" w:color="auto" w:sz="4" w:space="0"/>
              <w:right w:val="single" w:color="000000" w:sz="4" w:space="0"/>
            </w:tcBorders>
            <w:shd w:val="clear" w:color="auto" w:fill="FFFFFF"/>
            <w:vAlign w:val="center"/>
          </w:tcPr>
          <w:p>
            <w:pPr>
              <w:jc w:val="center"/>
              <w:rPr>
                <w:rFonts w:ascii="宋体" w:hAnsi="宋体"/>
                <w:szCs w:val="21"/>
              </w:rPr>
            </w:pPr>
          </w:p>
        </w:tc>
        <w:tc>
          <w:tcPr>
            <w:tcW w:w="450" w:type="dxa"/>
            <w:vMerge w:val="continue"/>
            <w:tcBorders>
              <w:left w:val="single" w:color="000000" w:sz="4" w:space="0"/>
              <w:bottom w:val="single" w:color="auto" w:sz="4" w:space="0"/>
              <w:right w:val="single" w:color="000000" w:sz="4" w:space="0"/>
            </w:tcBorders>
            <w:shd w:val="clear" w:color="auto" w:fill="FFFFFF"/>
            <w:vAlign w:val="center"/>
          </w:tcPr>
          <w:p>
            <w:pPr>
              <w:jc w:val="center"/>
              <w:rPr>
                <w:rFonts w:ascii="宋体" w:hAnsi="宋体"/>
                <w:szCs w:val="21"/>
              </w:rPr>
            </w:pPr>
          </w:p>
        </w:tc>
        <w:tc>
          <w:tcPr>
            <w:tcW w:w="4839" w:type="dxa"/>
            <w:gridSpan w:val="3"/>
            <w:tcBorders>
              <w:top w:val="single" w:color="auto" w:sz="4" w:space="0"/>
              <w:left w:val="single" w:color="000000" w:sz="4" w:space="0"/>
              <w:bottom w:val="single" w:color="auto" w:sz="4" w:space="0"/>
              <w:right w:val="single" w:color="000000" w:sz="2" w:space="0"/>
            </w:tcBorders>
            <w:shd w:val="clear" w:color="auto" w:fill="BEBEBE"/>
            <w:vAlign w:val="center"/>
          </w:tcPr>
          <w:p>
            <w:pPr>
              <w:spacing w:line="0" w:lineRule="atLeast"/>
              <w:jc w:val="center"/>
              <w:rPr>
                <w:rFonts w:ascii="宋体" w:hAnsi="宋体"/>
                <w:szCs w:val="21"/>
              </w:rPr>
            </w:pPr>
            <w:r>
              <w:rPr>
                <w:rFonts w:hint="eastAsia" w:ascii="宋体" w:hAnsi="宋体"/>
                <w:b/>
                <w:bCs/>
                <w:szCs w:val="21"/>
              </w:rPr>
              <w:t>专业拓展课合计</w:t>
            </w:r>
          </w:p>
        </w:tc>
        <w:tc>
          <w:tcPr>
            <w:tcW w:w="582" w:type="dxa"/>
            <w:tcBorders>
              <w:top w:val="single" w:color="auto" w:sz="4" w:space="0"/>
              <w:left w:val="single" w:color="000000" w:sz="12"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r>
              <w:rPr>
                <w:rFonts w:ascii="宋体" w:hAnsi="宋体"/>
                <w:b/>
                <w:bCs/>
                <w:szCs w:val="21"/>
              </w:rPr>
              <w:t>16</w:t>
            </w:r>
          </w:p>
        </w:tc>
        <w:tc>
          <w:tcPr>
            <w:tcW w:w="711" w:type="dxa"/>
            <w:tcBorders>
              <w:top w:val="single" w:color="auto" w:sz="4" w:space="0"/>
              <w:left w:val="single" w:color="000000" w:sz="12" w:space="0"/>
              <w:bottom w:val="single" w:color="auto" w:sz="4" w:space="0"/>
              <w:right w:val="single" w:color="000000" w:sz="4" w:space="0"/>
            </w:tcBorders>
            <w:shd w:val="clear" w:color="auto" w:fill="BEBEBE"/>
            <w:vAlign w:val="center"/>
          </w:tcPr>
          <w:p>
            <w:pPr>
              <w:spacing w:line="240" w:lineRule="atLeast"/>
              <w:jc w:val="center"/>
              <w:rPr>
                <w:rFonts w:ascii="宋体" w:hAnsi="宋体"/>
                <w:b/>
                <w:bCs/>
                <w:szCs w:val="21"/>
              </w:rPr>
            </w:pPr>
            <w:r>
              <w:rPr>
                <w:rFonts w:hint="eastAsia" w:ascii="宋体" w:hAnsi="宋体"/>
                <w:b/>
                <w:bCs/>
                <w:szCs w:val="21"/>
              </w:rPr>
              <w:t>256</w:t>
            </w:r>
          </w:p>
        </w:tc>
        <w:tc>
          <w:tcPr>
            <w:tcW w:w="701"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240" w:lineRule="atLeast"/>
              <w:jc w:val="center"/>
              <w:rPr>
                <w:rFonts w:ascii="宋体" w:hAnsi="宋体"/>
                <w:b/>
                <w:bCs/>
                <w:szCs w:val="21"/>
              </w:rPr>
            </w:pPr>
            <w:r>
              <w:rPr>
                <w:rFonts w:hint="eastAsia" w:ascii="宋体" w:hAnsi="宋体"/>
                <w:b/>
                <w:bCs/>
                <w:szCs w:val="21"/>
              </w:rPr>
              <w:t>128</w:t>
            </w:r>
          </w:p>
        </w:tc>
        <w:tc>
          <w:tcPr>
            <w:tcW w:w="766"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p>
        </w:tc>
        <w:tc>
          <w:tcPr>
            <w:tcW w:w="813"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p>
        </w:tc>
        <w:tc>
          <w:tcPr>
            <w:tcW w:w="747"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8</w:t>
            </w:r>
          </w:p>
        </w:tc>
        <w:tc>
          <w:tcPr>
            <w:tcW w:w="804"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8</w:t>
            </w:r>
          </w:p>
        </w:tc>
        <w:tc>
          <w:tcPr>
            <w:tcW w:w="636"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p>
        </w:tc>
        <w:tc>
          <w:tcPr>
            <w:tcW w:w="564" w:type="dxa"/>
            <w:tcBorders>
              <w:top w:val="single" w:color="auto" w:sz="4" w:space="0"/>
              <w:left w:val="single" w:color="000000" w:sz="4" w:space="0"/>
              <w:bottom w:val="single" w:color="auto" w:sz="4" w:space="0"/>
              <w:right w:val="single" w:color="000000" w:sz="4" w:space="0"/>
            </w:tcBorders>
            <w:shd w:val="clear" w:color="auto" w:fill="BEBEBE"/>
            <w:vAlign w:val="center"/>
          </w:tcPr>
          <w:p>
            <w:pPr>
              <w:spacing w:line="0" w:lineRule="atLeast"/>
              <w:jc w:val="center"/>
              <w:rPr>
                <w:rFonts w:ascii="宋体" w:hAnsi="宋体"/>
                <w:szCs w:val="21"/>
              </w:rPr>
            </w:pPr>
          </w:p>
        </w:tc>
        <w:tc>
          <w:tcPr>
            <w:tcW w:w="2282" w:type="dxa"/>
            <w:tcBorders>
              <w:left w:val="single" w:color="000000" w:sz="4" w:space="0"/>
              <w:bottom w:val="single" w:color="auto" w:sz="4" w:space="0"/>
              <w:right w:val="single" w:color="auto" w:sz="4" w:space="0"/>
            </w:tcBorders>
            <w:shd w:val="clear" w:color="auto" w:fill="BEBEBE"/>
            <w:vAlign w:val="center"/>
          </w:tcPr>
          <w:p>
            <w:pPr>
              <w:spacing w:line="0" w:lineRule="atLeas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50" w:hRule="atLeast"/>
          <w:jc w:val="center"/>
        </w:trPr>
        <w:tc>
          <w:tcPr>
            <w:tcW w:w="5674" w:type="dxa"/>
            <w:gridSpan w:val="5"/>
            <w:tcBorders>
              <w:top w:val="single" w:color="000000" w:sz="4" w:space="0"/>
              <w:left w:val="single" w:color="000000" w:sz="4" w:space="0"/>
              <w:bottom w:val="single" w:color="000000" w:sz="4" w:space="0"/>
              <w:right w:val="single" w:color="000000" w:sz="2" w:space="0"/>
            </w:tcBorders>
            <w:shd w:val="clear" w:color="auto" w:fill="BEBEBE"/>
            <w:vAlign w:val="center"/>
          </w:tcPr>
          <w:p>
            <w:pPr>
              <w:spacing w:line="0" w:lineRule="atLeast"/>
              <w:jc w:val="center"/>
              <w:rPr>
                <w:rFonts w:ascii="宋体" w:hAnsi="宋体"/>
                <w:b/>
                <w:bCs/>
                <w:szCs w:val="21"/>
              </w:rPr>
            </w:pPr>
            <w:r>
              <w:rPr>
                <w:rFonts w:hint="eastAsia" w:ascii="宋体" w:hAnsi="宋体"/>
                <w:b/>
                <w:bCs/>
                <w:szCs w:val="21"/>
              </w:rPr>
              <w:t>总合计</w:t>
            </w:r>
          </w:p>
        </w:tc>
        <w:tc>
          <w:tcPr>
            <w:tcW w:w="582" w:type="dxa"/>
            <w:tcBorders>
              <w:top w:val="single" w:color="000000" w:sz="4" w:space="0"/>
              <w:left w:val="single" w:color="000000" w:sz="12" w:space="0"/>
              <w:bottom w:val="single" w:color="000000" w:sz="4" w:space="0"/>
              <w:right w:val="single" w:color="000000" w:sz="4" w:space="0"/>
            </w:tcBorders>
            <w:shd w:val="clear" w:color="auto" w:fill="BEBEBE"/>
            <w:vAlign w:val="center"/>
          </w:tcPr>
          <w:p>
            <w:pPr>
              <w:widowControl/>
              <w:jc w:val="center"/>
              <w:textAlignment w:val="center"/>
              <w:rPr>
                <w:rFonts w:hint="eastAsia" w:ascii="宋体" w:hAnsi="宋体" w:eastAsia="宋体"/>
                <w:b/>
                <w:bCs/>
                <w:color w:val="auto"/>
                <w:szCs w:val="21"/>
                <w:lang w:eastAsia="zh-CN"/>
              </w:rPr>
            </w:pPr>
            <w:r>
              <w:rPr>
                <w:rFonts w:hint="eastAsia" w:ascii="宋体" w:hAnsi="宋体" w:cs="宋体"/>
                <w:b/>
                <w:bCs/>
                <w:color w:val="auto"/>
                <w:kern w:val="0"/>
                <w:szCs w:val="21"/>
                <w:lang w:bidi="ar"/>
              </w:rPr>
              <w:t>16</w:t>
            </w:r>
            <w:r>
              <w:rPr>
                <w:rFonts w:hint="eastAsia" w:ascii="宋体" w:hAnsi="宋体" w:cs="宋体"/>
                <w:b/>
                <w:bCs/>
                <w:color w:val="auto"/>
                <w:kern w:val="0"/>
                <w:szCs w:val="21"/>
                <w:lang w:val="en-US" w:eastAsia="zh-CN" w:bidi="ar"/>
              </w:rPr>
              <w:t>9</w:t>
            </w:r>
          </w:p>
        </w:tc>
        <w:tc>
          <w:tcPr>
            <w:tcW w:w="711" w:type="dxa"/>
            <w:tcBorders>
              <w:top w:val="single" w:color="000000" w:sz="4" w:space="0"/>
              <w:left w:val="single" w:color="000000" w:sz="12" w:space="0"/>
              <w:bottom w:val="single" w:color="000000" w:sz="4" w:space="0"/>
              <w:right w:val="single" w:color="000000" w:sz="4" w:space="0"/>
            </w:tcBorders>
            <w:shd w:val="clear" w:color="auto" w:fill="BEBEBE"/>
            <w:vAlign w:val="center"/>
          </w:tcPr>
          <w:p>
            <w:pPr>
              <w:widowControl/>
              <w:jc w:val="center"/>
              <w:textAlignment w:val="center"/>
              <w:rPr>
                <w:rFonts w:hint="default" w:ascii="宋体" w:hAnsi="宋体" w:eastAsia="宋体"/>
                <w:b/>
                <w:bCs/>
                <w:color w:val="auto"/>
                <w:szCs w:val="21"/>
                <w:lang w:val="en-US" w:eastAsia="zh-CN"/>
              </w:rPr>
            </w:pPr>
            <w:r>
              <w:rPr>
                <w:rFonts w:hint="eastAsia" w:ascii="宋体" w:hAnsi="宋体" w:cs="宋体"/>
                <w:b/>
                <w:bCs/>
                <w:color w:val="auto"/>
                <w:kern w:val="0"/>
                <w:szCs w:val="21"/>
                <w:lang w:val="en-US" w:eastAsia="zh-CN" w:bidi="ar"/>
              </w:rPr>
              <w:t>2858</w:t>
            </w:r>
          </w:p>
        </w:tc>
        <w:tc>
          <w:tcPr>
            <w:tcW w:w="7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jc w:val="center"/>
              <w:textAlignment w:val="center"/>
              <w:rPr>
                <w:rFonts w:hint="default" w:ascii="宋体" w:hAnsi="宋体" w:eastAsia="宋体"/>
                <w:b/>
                <w:bCs/>
                <w:color w:val="auto"/>
                <w:szCs w:val="21"/>
                <w:lang w:val="en-US" w:eastAsia="zh-CN"/>
              </w:rPr>
            </w:pPr>
            <w:r>
              <w:rPr>
                <w:rFonts w:hint="eastAsia" w:ascii="宋体" w:hAnsi="宋体" w:cs="宋体"/>
                <w:b/>
                <w:bCs/>
                <w:color w:val="auto"/>
                <w:kern w:val="0"/>
                <w:szCs w:val="21"/>
                <w:lang w:bidi="ar"/>
              </w:rPr>
              <w:t>15</w:t>
            </w:r>
            <w:r>
              <w:rPr>
                <w:rFonts w:hint="eastAsia" w:ascii="宋体" w:hAnsi="宋体" w:cs="宋体"/>
                <w:b/>
                <w:bCs/>
                <w:color w:val="auto"/>
                <w:kern w:val="0"/>
                <w:szCs w:val="21"/>
                <w:lang w:val="en-US" w:eastAsia="zh-CN" w:bidi="ar"/>
              </w:rPr>
              <w:t>00</w:t>
            </w:r>
          </w:p>
        </w:tc>
        <w:tc>
          <w:tcPr>
            <w:tcW w:w="766"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textAlignment w:val="center"/>
              <w:rPr>
                <w:rFonts w:ascii="宋体" w:hAnsi="宋体"/>
                <w:b/>
                <w:bCs/>
                <w:color w:val="auto"/>
                <w:sz w:val="15"/>
                <w:szCs w:val="15"/>
              </w:rPr>
            </w:pPr>
            <w:r>
              <w:rPr>
                <w:rFonts w:hint="eastAsia" w:ascii="宋体" w:hAnsi="宋体" w:cs="宋体"/>
                <w:b/>
                <w:bCs/>
                <w:color w:val="auto"/>
                <w:kern w:val="0"/>
                <w:sz w:val="15"/>
                <w:szCs w:val="15"/>
                <w:lang w:bidi="ar"/>
              </w:rPr>
              <w:t>2</w:t>
            </w:r>
            <w:r>
              <w:rPr>
                <w:rFonts w:hint="eastAsia" w:ascii="宋体" w:hAnsi="宋体" w:cs="宋体"/>
                <w:b/>
                <w:bCs/>
                <w:color w:val="auto"/>
                <w:kern w:val="0"/>
                <w:sz w:val="15"/>
                <w:szCs w:val="15"/>
                <w:lang w:val="en-US" w:eastAsia="zh-CN" w:bidi="ar"/>
              </w:rPr>
              <w:t>6</w:t>
            </w:r>
            <w:r>
              <w:rPr>
                <w:rFonts w:hint="eastAsia" w:ascii="宋体" w:hAnsi="宋体" w:cs="宋体"/>
                <w:b/>
                <w:bCs/>
                <w:color w:val="auto"/>
                <w:kern w:val="0"/>
                <w:sz w:val="15"/>
                <w:szCs w:val="15"/>
                <w:lang w:bidi="ar"/>
              </w:rPr>
              <w:t>.5+2W</w:t>
            </w:r>
          </w:p>
        </w:tc>
        <w:tc>
          <w:tcPr>
            <w:tcW w:w="813"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textAlignment w:val="center"/>
              <w:rPr>
                <w:rFonts w:ascii="宋体" w:hAnsi="宋体"/>
                <w:b/>
                <w:bCs/>
                <w:color w:val="auto"/>
                <w:sz w:val="15"/>
                <w:szCs w:val="15"/>
              </w:rPr>
            </w:pPr>
            <w:r>
              <w:rPr>
                <w:rFonts w:hint="eastAsia" w:ascii="宋体" w:hAnsi="宋体" w:cs="宋体"/>
                <w:b/>
                <w:bCs/>
                <w:color w:val="auto"/>
                <w:kern w:val="0"/>
                <w:sz w:val="15"/>
                <w:szCs w:val="15"/>
                <w:lang w:bidi="ar"/>
              </w:rPr>
              <w:t>2</w:t>
            </w:r>
            <w:r>
              <w:rPr>
                <w:rFonts w:hint="eastAsia" w:ascii="宋体" w:hAnsi="宋体" w:cs="宋体"/>
                <w:b/>
                <w:bCs/>
                <w:color w:val="auto"/>
                <w:kern w:val="0"/>
                <w:sz w:val="15"/>
                <w:szCs w:val="15"/>
                <w:lang w:val="en-US" w:eastAsia="zh-CN" w:bidi="ar"/>
              </w:rPr>
              <w:t>4</w:t>
            </w:r>
            <w:r>
              <w:rPr>
                <w:rFonts w:hint="eastAsia" w:ascii="宋体" w:hAnsi="宋体" w:cs="宋体"/>
                <w:b/>
                <w:bCs/>
                <w:color w:val="auto"/>
                <w:kern w:val="0"/>
                <w:sz w:val="15"/>
                <w:szCs w:val="15"/>
                <w:lang w:bidi="ar"/>
              </w:rPr>
              <w:t>.5+3W</w:t>
            </w:r>
          </w:p>
        </w:tc>
        <w:tc>
          <w:tcPr>
            <w:tcW w:w="747"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textAlignment w:val="center"/>
              <w:rPr>
                <w:rFonts w:ascii="宋体" w:hAnsi="宋体"/>
                <w:b/>
                <w:bCs/>
                <w:sz w:val="15"/>
                <w:szCs w:val="15"/>
              </w:rPr>
            </w:pPr>
            <w:r>
              <w:rPr>
                <w:rFonts w:hint="eastAsia" w:ascii="宋体" w:hAnsi="宋体" w:cs="宋体"/>
                <w:b/>
                <w:bCs/>
                <w:color w:val="000000"/>
                <w:kern w:val="0"/>
                <w:sz w:val="15"/>
                <w:szCs w:val="15"/>
                <w:lang w:bidi="ar"/>
              </w:rPr>
              <w:t>26.5+2W</w:t>
            </w:r>
          </w:p>
        </w:tc>
        <w:tc>
          <w:tcPr>
            <w:tcW w:w="804"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textAlignment w:val="center"/>
              <w:rPr>
                <w:rFonts w:ascii="宋体" w:hAnsi="宋体"/>
                <w:b/>
                <w:bCs/>
                <w:sz w:val="15"/>
                <w:szCs w:val="15"/>
              </w:rPr>
            </w:pPr>
            <w:r>
              <w:rPr>
                <w:rFonts w:hint="eastAsia" w:ascii="宋体" w:hAnsi="宋体" w:cs="宋体"/>
                <w:b/>
                <w:bCs/>
                <w:color w:val="000000"/>
                <w:kern w:val="0"/>
                <w:sz w:val="15"/>
                <w:szCs w:val="15"/>
                <w:lang w:bidi="ar"/>
              </w:rPr>
              <w:t>2</w:t>
            </w:r>
            <w:r>
              <w:rPr>
                <w:rFonts w:hint="eastAsia" w:ascii="宋体" w:hAnsi="宋体" w:cs="宋体"/>
                <w:b/>
                <w:bCs/>
                <w:color w:val="000000"/>
                <w:kern w:val="0"/>
                <w:sz w:val="15"/>
                <w:szCs w:val="15"/>
                <w:lang w:val="en-US" w:eastAsia="zh-CN" w:bidi="ar"/>
              </w:rPr>
              <w:t>4</w:t>
            </w:r>
            <w:r>
              <w:rPr>
                <w:rFonts w:hint="eastAsia" w:ascii="宋体" w:hAnsi="宋体" w:cs="宋体"/>
                <w:b/>
                <w:bCs/>
                <w:color w:val="000000"/>
                <w:kern w:val="0"/>
                <w:sz w:val="15"/>
                <w:szCs w:val="15"/>
                <w:lang w:bidi="ar"/>
              </w:rPr>
              <w:t>.5+3W</w:t>
            </w:r>
          </w:p>
        </w:tc>
        <w:tc>
          <w:tcPr>
            <w:tcW w:w="636"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c>
          <w:tcPr>
            <w:tcW w:w="564"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c>
          <w:tcPr>
            <w:tcW w:w="2282" w:type="dxa"/>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0" w:lineRule="atLeast"/>
              <w:jc w:val="center"/>
              <w:rPr>
                <w:rFonts w:ascii="宋体" w:hAnsi="宋体"/>
                <w:szCs w:val="21"/>
              </w:rPr>
            </w:pPr>
          </w:p>
        </w:tc>
      </w:tr>
    </w:tbl>
    <w:p>
      <w:pPr>
        <w:widowControl/>
        <w:tabs>
          <w:tab w:val="left" w:pos="757"/>
        </w:tabs>
        <w:spacing w:line="300" w:lineRule="auto"/>
        <w:outlineLvl w:val="0"/>
        <w:rPr>
          <w:rFonts w:hint="eastAsia" w:eastAsia="宋体"/>
          <w:lang w:eastAsia="zh-CN"/>
        </w:rPr>
      </w:pPr>
      <w:bookmarkStart w:id="804" w:name="_Toc14687"/>
      <w:bookmarkStart w:id="805" w:name="_Toc9002"/>
      <w:bookmarkStart w:id="806" w:name="_Toc9632"/>
      <w:r>
        <w:t>注：</w:t>
      </w:r>
      <w:bookmarkEnd w:id="804"/>
      <w:bookmarkEnd w:id="805"/>
      <w:bookmarkEnd w:id="806"/>
    </w:p>
    <w:p>
      <w:pPr>
        <w:widowControl/>
        <w:tabs>
          <w:tab w:val="left" w:pos="757"/>
        </w:tabs>
        <w:spacing w:line="300" w:lineRule="auto"/>
        <w:outlineLvl w:val="0"/>
        <w:rPr>
          <w:rFonts w:hint="eastAsia" w:eastAsia="宋体"/>
          <w:lang w:eastAsia="zh-CN"/>
        </w:rPr>
      </w:pPr>
      <w:bookmarkStart w:id="807" w:name="_Toc7350"/>
      <w:bookmarkStart w:id="808" w:name="_Toc12418"/>
      <w:bookmarkStart w:id="809" w:name="_Toc15693"/>
      <w:r>
        <w:t>1.理论教学（含理实一体）1个学分计16学时计算；实训周1周计1学分（24学时）；假期社会实践、大三阶段的实践1周计1学分（20学时）。 </w:t>
      </w:r>
      <w:bookmarkEnd w:id="807"/>
      <w:bookmarkEnd w:id="808"/>
      <w:bookmarkEnd w:id="809"/>
    </w:p>
    <w:p>
      <w:pPr>
        <w:widowControl/>
        <w:tabs>
          <w:tab w:val="left" w:pos="757"/>
        </w:tabs>
        <w:spacing w:line="300" w:lineRule="auto"/>
        <w:outlineLvl w:val="0"/>
        <w:rPr>
          <w:rFonts w:hint="eastAsia" w:eastAsia="宋体"/>
          <w:lang w:eastAsia="zh-CN"/>
        </w:rPr>
      </w:pPr>
      <w:bookmarkStart w:id="810" w:name="_Toc26544"/>
      <w:bookmarkStart w:id="811" w:name="_Toc10144"/>
      <w:bookmarkStart w:id="812" w:name="_Toc17879"/>
      <w:r>
        <w:t>2.带“*”为核心课程，带“W”为以周记的学时，带“</w:t>
      </w:r>
      <w:r>
        <w:rPr>
          <w:rFonts w:ascii="Arial" w:hAnsi="Arial" w:cs="Arial"/>
        </w:rPr>
        <w:t>▲</w:t>
      </w:r>
      <w:r>
        <w:rPr>
          <w:rFonts w:cs="Calibri"/>
        </w:rPr>
        <w:t>”</w:t>
      </w:r>
      <w:r>
        <w:t>为考试学期，（）内代表不进入教务系统统一排课。</w:t>
      </w:r>
      <w:bookmarkEnd w:id="810"/>
      <w:bookmarkEnd w:id="811"/>
      <w:bookmarkEnd w:id="812"/>
    </w:p>
    <w:p>
      <w:pPr>
        <w:widowControl/>
        <w:tabs>
          <w:tab w:val="left" w:pos="757"/>
        </w:tabs>
        <w:spacing w:line="300" w:lineRule="auto"/>
        <w:outlineLvl w:val="0"/>
        <w:sectPr>
          <w:pgSz w:w="16838" w:h="11906" w:orient="landscape"/>
          <w:pgMar w:top="1440" w:right="1440" w:bottom="1440" w:left="1440" w:header="851" w:footer="992" w:gutter="284"/>
          <w:pgNumType w:fmt="decimal"/>
          <w:cols w:space="720" w:num="1"/>
          <w:docGrid w:linePitch="312" w:charSpace="0"/>
        </w:sectPr>
      </w:pPr>
      <w:bookmarkStart w:id="813" w:name="_Toc11508"/>
      <w:bookmarkStart w:id="814" w:name="_Toc11907"/>
      <w:bookmarkStart w:id="815" w:name="_Toc699"/>
      <w:r>
        <w:t>3.全院性选修课一览表每学期由公共基础课教学部提供。公共基础任选课需修满10学分，其中创新创业类</w:t>
      </w:r>
      <w:r>
        <w:rPr>
          <w:rFonts w:hint="eastAsia"/>
        </w:rPr>
        <w:t>不少于</w:t>
      </w:r>
      <w:r>
        <w:t>2学分，人文美育类</w:t>
      </w:r>
      <w:r>
        <w:rPr>
          <w:rFonts w:hint="eastAsia"/>
        </w:rPr>
        <w:t>不少于</w:t>
      </w:r>
      <w:r>
        <w:t>2学分</w:t>
      </w:r>
      <w:r>
        <w:rPr>
          <w:rFonts w:hint="eastAsia"/>
        </w:rPr>
        <w:t>，四史教育类不少于1学分</w:t>
      </w:r>
      <w:r>
        <w:t>。</w:t>
      </w:r>
      <w:bookmarkEnd w:id="813"/>
      <w:bookmarkEnd w:id="814"/>
      <w:bookmarkEnd w:id="815"/>
    </w:p>
    <w:p>
      <w:pPr>
        <w:pStyle w:val="3"/>
        <w:bidi w:val="0"/>
        <w:ind w:firstLine="880"/>
        <w:rPr>
          <w:rFonts w:hint="eastAsia" w:ascii="Arial" w:hAnsi="Arial" w:eastAsia="宋体" w:cs="Times New Roman"/>
          <w:lang w:val="en-US" w:eastAsia="zh-CN"/>
        </w:rPr>
      </w:pPr>
      <w:bookmarkStart w:id="816" w:name="_Toc6916"/>
      <w:bookmarkStart w:id="817" w:name="_Toc14357"/>
      <w:bookmarkStart w:id="818" w:name="_Toc14585"/>
      <w:r>
        <w:rPr>
          <w:rFonts w:hint="eastAsia" w:ascii="Arial" w:hAnsi="Arial" w:eastAsia="宋体" w:cs="Times New Roman"/>
          <w:lang w:val="en-US" w:eastAsia="zh-CN"/>
        </w:rPr>
        <w:t>（三）教学学时、学分分配比例表</w:t>
      </w:r>
      <w:bookmarkEnd w:id="816"/>
      <w:bookmarkEnd w:id="817"/>
      <w:bookmarkEnd w:id="818"/>
    </w:p>
    <w:p>
      <w:pPr>
        <w:pStyle w:val="9"/>
        <w:adjustRightInd w:val="0"/>
        <w:snapToGrid w:val="0"/>
        <w:spacing w:before="0" w:beforeAutospacing="0" w:after="0" w:afterAutospacing="0" w:line="500" w:lineRule="exact"/>
        <w:ind w:firstLine="241" w:firstLineChars="100"/>
        <w:jc w:val="center"/>
        <w:rPr>
          <w:b/>
          <w:bCs/>
          <w:kern w:val="2"/>
        </w:rPr>
      </w:pPr>
      <w:r>
        <w:rPr>
          <w:rFonts w:hint="eastAsia"/>
          <w:b/>
          <w:bCs/>
          <w:kern w:val="2"/>
        </w:rPr>
        <w:t>表</w:t>
      </w:r>
      <w:r>
        <w:rPr>
          <w:rFonts w:hint="eastAsia"/>
          <w:b/>
          <w:bCs/>
          <w:kern w:val="2"/>
          <w:lang w:val="en-US" w:eastAsia="zh-CN"/>
        </w:rPr>
        <w:t>7</w:t>
      </w:r>
      <w:r>
        <w:rPr>
          <w:rFonts w:hint="eastAsia"/>
          <w:b/>
          <w:bCs/>
          <w:kern w:val="2"/>
        </w:rPr>
        <w:t xml:space="preserve"> 本专业教学学时、学分分配比例表</w:t>
      </w:r>
    </w:p>
    <w:tbl>
      <w:tblPr>
        <w:tblStyle w:val="10"/>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800"/>
        <w:gridCol w:w="90"/>
        <w:gridCol w:w="1623"/>
        <w:gridCol w:w="1440"/>
        <w:gridCol w:w="1368"/>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Align w:val="center"/>
          </w:tcPr>
          <w:p>
            <w:pPr>
              <w:spacing w:line="240" w:lineRule="atLeast"/>
              <w:jc w:val="center"/>
              <w:rPr>
                <w:rFonts w:ascii="宋体" w:hAnsi="宋体"/>
                <w:szCs w:val="21"/>
              </w:rPr>
            </w:pPr>
            <w:r>
              <w:rPr>
                <w:rFonts w:hint="eastAsia" w:ascii="宋体" w:hAnsi="宋体"/>
                <w:szCs w:val="21"/>
              </w:rPr>
              <w:t>阶段</w:t>
            </w:r>
          </w:p>
        </w:tc>
        <w:tc>
          <w:tcPr>
            <w:tcW w:w="3513" w:type="dxa"/>
            <w:gridSpan w:val="3"/>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课程类别</w:t>
            </w:r>
          </w:p>
        </w:tc>
        <w:tc>
          <w:tcPr>
            <w:tcW w:w="1440" w:type="dxa"/>
            <w:tcBorders>
              <w:left w:val="single" w:color="000000" w:sz="4" w:space="0"/>
            </w:tcBorders>
            <w:vAlign w:val="center"/>
          </w:tcPr>
          <w:p>
            <w:pPr>
              <w:spacing w:line="240" w:lineRule="atLeast"/>
              <w:jc w:val="center"/>
              <w:rPr>
                <w:rFonts w:ascii="宋体" w:hAnsi="宋体"/>
                <w:szCs w:val="21"/>
              </w:rPr>
            </w:pPr>
            <w:r>
              <w:rPr>
                <w:rFonts w:hint="eastAsia" w:ascii="宋体" w:hAnsi="宋体"/>
                <w:szCs w:val="21"/>
              </w:rPr>
              <w:t>学时数</w:t>
            </w:r>
          </w:p>
        </w:tc>
        <w:tc>
          <w:tcPr>
            <w:tcW w:w="1368" w:type="dxa"/>
            <w:vAlign w:val="center"/>
          </w:tcPr>
          <w:p>
            <w:pPr>
              <w:spacing w:line="240" w:lineRule="atLeast"/>
              <w:jc w:val="center"/>
              <w:rPr>
                <w:rFonts w:ascii="宋体" w:hAnsi="宋体"/>
                <w:szCs w:val="21"/>
              </w:rPr>
            </w:pPr>
            <w:r>
              <w:rPr>
                <w:rFonts w:hint="eastAsia" w:ascii="宋体" w:hAnsi="宋体"/>
                <w:szCs w:val="21"/>
              </w:rPr>
              <w:t>学分</w:t>
            </w:r>
          </w:p>
        </w:tc>
        <w:tc>
          <w:tcPr>
            <w:tcW w:w="2252" w:type="dxa"/>
            <w:vAlign w:val="center"/>
          </w:tcPr>
          <w:p>
            <w:pPr>
              <w:spacing w:line="240" w:lineRule="atLeast"/>
              <w:jc w:val="center"/>
              <w:rPr>
                <w:rFonts w:ascii="宋体" w:hAnsi="宋体"/>
                <w:szCs w:val="21"/>
              </w:rPr>
            </w:pPr>
            <w:r>
              <w:rPr>
                <w:rFonts w:hint="eastAsia" w:ascii="宋体" w:hAnsi="宋体"/>
                <w:szCs w:val="21"/>
              </w:rPr>
              <w:t>实践学时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795" w:type="dxa"/>
            <w:vMerge w:val="restart"/>
            <w:vAlign w:val="center"/>
          </w:tcPr>
          <w:p>
            <w:pPr>
              <w:spacing w:line="240" w:lineRule="atLeast"/>
              <w:jc w:val="center"/>
              <w:rPr>
                <w:rFonts w:ascii="宋体" w:hAnsi="宋体"/>
                <w:szCs w:val="21"/>
              </w:rPr>
            </w:pPr>
            <w:r>
              <w:rPr>
                <w:rFonts w:hint="eastAsia" w:ascii="宋体" w:hAnsi="宋体"/>
                <w:szCs w:val="21"/>
              </w:rPr>
              <w:t>大一与</w:t>
            </w:r>
          </w:p>
          <w:p>
            <w:pPr>
              <w:spacing w:line="240" w:lineRule="atLeast"/>
              <w:jc w:val="center"/>
              <w:rPr>
                <w:rFonts w:ascii="宋体" w:hAnsi="宋体"/>
                <w:szCs w:val="21"/>
              </w:rPr>
            </w:pPr>
            <w:r>
              <w:rPr>
                <w:rFonts w:hint="eastAsia" w:ascii="宋体" w:hAnsi="宋体"/>
                <w:szCs w:val="21"/>
              </w:rPr>
              <w:t>大二</w:t>
            </w:r>
          </w:p>
        </w:tc>
        <w:tc>
          <w:tcPr>
            <w:tcW w:w="1890" w:type="dxa"/>
            <w:gridSpan w:val="2"/>
            <w:vMerge w:val="restart"/>
            <w:tcBorders>
              <w:right w:val="single" w:color="000000" w:sz="4" w:space="0"/>
            </w:tcBorders>
            <w:vAlign w:val="center"/>
          </w:tcPr>
          <w:p>
            <w:pPr>
              <w:spacing w:line="240" w:lineRule="atLeast"/>
              <w:ind w:firstLine="210" w:firstLineChars="100"/>
              <w:rPr>
                <w:rFonts w:ascii="宋体" w:hAnsi="宋体"/>
                <w:szCs w:val="21"/>
              </w:rPr>
            </w:pPr>
            <w:r>
              <w:rPr>
                <w:rFonts w:hint="eastAsia" w:ascii="宋体" w:hAnsi="宋体"/>
                <w:szCs w:val="21"/>
              </w:rPr>
              <w:t>公共基础课</w:t>
            </w:r>
          </w:p>
        </w:tc>
        <w:tc>
          <w:tcPr>
            <w:tcW w:w="1623" w:type="dxa"/>
            <w:tcBorders>
              <w:bottom w:val="single" w:color="000000" w:sz="4" w:space="0"/>
              <w:right w:val="single" w:color="000000" w:sz="4" w:space="0"/>
            </w:tcBorders>
            <w:vAlign w:val="center"/>
          </w:tcPr>
          <w:p>
            <w:pPr>
              <w:spacing w:line="240" w:lineRule="atLeast"/>
              <w:jc w:val="center"/>
              <w:rPr>
                <w:rFonts w:ascii="宋体" w:hAnsi="宋体"/>
                <w:szCs w:val="21"/>
              </w:rPr>
            </w:pPr>
            <w:r>
              <w:rPr>
                <w:rFonts w:hint="eastAsia" w:ascii="宋体" w:hAnsi="宋体"/>
                <w:szCs w:val="21"/>
              </w:rPr>
              <w:t>必修</w:t>
            </w:r>
          </w:p>
        </w:tc>
        <w:tc>
          <w:tcPr>
            <w:tcW w:w="1440" w:type="dxa"/>
            <w:tcBorders>
              <w:left w:val="single" w:color="000000" w:sz="4" w:space="0"/>
              <w:bottom w:val="single" w:color="000000" w:sz="4" w:space="0"/>
            </w:tcBorders>
            <w:vAlign w:val="bottom"/>
          </w:tcPr>
          <w:p>
            <w:pPr>
              <w:jc w:val="center"/>
              <w:rPr>
                <w:rFonts w:hint="default" w:ascii="宋体" w:hAnsi="宋体" w:eastAsia="宋体" w:cs="宋体"/>
                <w:szCs w:val="21"/>
                <w:lang w:val="en-US" w:eastAsia="zh-CN"/>
              </w:rPr>
            </w:pPr>
            <w:r>
              <w:rPr>
                <w:rFonts w:hint="eastAsia" w:ascii="宋体" w:hAnsi="宋体"/>
                <w:szCs w:val="21"/>
                <w:lang w:val="en-US" w:eastAsia="zh-CN"/>
              </w:rPr>
              <w:t>422</w:t>
            </w:r>
          </w:p>
        </w:tc>
        <w:tc>
          <w:tcPr>
            <w:tcW w:w="1368" w:type="dxa"/>
            <w:tcBorders>
              <w:bottom w:val="single" w:color="000000" w:sz="4" w:space="0"/>
            </w:tcBorders>
            <w:vAlign w:val="bottom"/>
          </w:tcPr>
          <w:p>
            <w:pPr>
              <w:jc w:val="center"/>
              <w:rPr>
                <w:rFonts w:hint="eastAsia" w:ascii="宋体" w:hAnsi="宋体" w:eastAsia="宋体" w:cs="宋体"/>
                <w:szCs w:val="21"/>
                <w:lang w:eastAsia="zh-CN"/>
              </w:rPr>
            </w:pPr>
            <w:r>
              <w:rPr>
                <w:rFonts w:ascii="宋体" w:hAnsi="宋体"/>
                <w:szCs w:val="21"/>
              </w:rPr>
              <w:t>2</w:t>
            </w:r>
            <w:r>
              <w:rPr>
                <w:rFonts w:hint="eastAsia" w:ascii="宋体" w:hAnsi="宋体"/>
                <w:szCs w:val="21"/>
                <w:lang w:val="en-US" w:eastAsia="zh-CN"/>
              </w:rPr>
              <w:t>7</w:t>
            </w:r>
          </w:p>
        </w:tc>
        <w:tc>
          <w:tcPr>
            <w:tcW w:w="2252" w:type="dxa"/>
            <w:tcBorders>
              <w:bottom w:val="single" w:color="000000" w:sz="4" w:space="0"/>
            </w:tcBorders>
            <w:vAlign w:val="bottom"/>
          </w:tcPr>
          <w:p>
            <w:pPr>
              <w:jc w:val="center"/>
              <w:rPr>
                <w:rFonts w:ascii="宋体" w:hAnsi="宋体" w:cs="宋体"/>
                <w:color w:val="000000"/>
                <w:szCs w:val="21"/>
              </w:rPr>
            </w:pPr>
            <w:r>
              <w:rPr>
                <w:rFonts w:hint="eastAsia" w:ascii="宋体" w:hAnsi="宋体"/>
                <w:color w:val="000000"/>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1890" w:type="dxa"/>
            <w:gridSpan w:val="2"/>
            <w:vMerge w:val="continue"/>
            <w:tcBorders>
              <w:right w:val="single" w:color="000000" w:sz="4" w:space="0"/>
            </w:tcBorders>
            <w:vAlign w:val="center"/>
          </w:tcPr>
          <w:p>
            <w:pPr>
              <w:spacing w:line="240" w:lineRule="atLeast"/>
              <w:jc w:val="center"/>
              <w:rPr>
                <w:rFonts w:ascii="宋体" w:hAnsi="宋体"/>
                <w:szCs w:val="21"/>
              </w:rPr>
            </w:pPr>
          </w:p>
        </w:tc>
        <w:tc>
          <w:tcPr>
            <w:tcW w:w="1623" w:type="dxa"/>
            <w:tcBorders>
              <w:top w:val="single" w:color="000000" w:sz="4" w:space="0"/>
              <w:right w:val="single" w:color="000000" w:sz="4" w:space="0"/>
            </w:tcBorders>
            <w:vAlign w:val="center"/>
          </w:tcPr>
          <w:p>
            <w:pPr>
              <w:spacing w:line="240" w:lineRule="atLeast"/>
              <w:jc w:val="center"/>
              <w:rPr>
                <w:rFonts w:ascii="宋体" w:hAnsi="宋体"/>
                <w:szCs w:val="21"/>
              </w:rPr>
            </w:pPr>
            <w:r>
              <w:rPr>
                <w:rFonts w:hint="eastAsia" w:ascii="宋体" w:hAnsi="宋体"/>
                <w:szCs w:val="21"/>
              </w:rPr>
              <w:t>选修</w:t>
            </w:r>
          </w:p>
        </w:tc>
        <w:tc>
          <w:tcPr>
            <w:tcW w:w="1440" w:type="dxa"/>
            <w:tcBorders>
              <w:top w:val="single" w:color="000000" w:sz="4" w:space="0"/>
              <w:left w:val="single" w:color="000000" w:sz="4" w:space="0"/>
            </w:tcBorders>
            <w:vAlign w:val="bottom"/>
          </w:tcPr>
          <w:p>
            <w:pPr>
              <w:jc w:val="center"/>
              <w:rPr>
                <w:rFonts w:hint="default" w:ascii="宋体" w:hAnsi="宋体" w:eastAsia="宋体" w:cs="宋体"/>
                <w:szCs w:val="21"/>
                <w:lang w:val="en-US" w:eastAsia="zh-CN"/>
              </w:rPr>
            </w:pPr>
            <w:r>
              <w:rPr>
                <w:rFonts w:hint="eastAsia" w:ascii="宋体" w:hAnsi="宋体"/>
                <w:szCs w:val="21"/>
              </w:rPr>
              <w:t>3</w:t>
            </w:r>
            <w:r>
              <w:rPr>
                <w:rFonts w:hint="eastAsia" w:ascii="宋体" w:hAnsi="宋体"/>
                <w:szCs w:val="21"/>
                <w:lang w:val="en-US" w:eastAsia="zh-CN"/>
              </w:rPr>
              <w:t>20</w:t>
            </w:r>
          </w:p>
        </w:tc>
        <w:tc>
          <w:tcPr>
            <w:tcW w:w="1368" w:type="dxa"/>
            <w:tcBorders>
              <w:top w:val="single" w:color="000000" w:sz="4" w:space="0"/>
            </w:tcBorders>
            <w:vAlign w:val="bottom"/>
          </w:tcPr>
          <w:p>
            <w:pPr>
              <w:jc w:val="center"/>
              <w:rPr>
                <w:rFonts w:hint="eastAsia" w:ascii="宋体" w:hAnsi="宋体" w:eastAsia="宋体" w:cs="宋体"/>
                <w:szCs w:val="21"/>
                <w:lang w:eastAsia="zh-CN"/>
              </w:rPr>
            </w:pPr>
            <w:r>
              <w:rPr>
                <w:rFonts w:hint="eastAsia" w:ascii="宋体" w:hAnsi="宋体"/>
                <w:b w:val="0"/>
                <w:bCs w:val="0"/>
                <w:color w:val="auto"/>
                <w:szCs w:val="21"/>
              </w:rPr>
              <w:t>2</w:t>
            </w:r>
            <w:r>
              <w:rPr>
                <w:rFonts w:hint="eastAsia" w:ascii="宋体" w:hAnsi="宋体"/>
                <w:b w:val="0"/>
                <w:bCs w:val="0"/>
                <w:color w:val="auto"/>
                <w:szCs w:val="21"/>
                <w:lang w:val="en-US" w:eastAsia="zh-CN"/>
              </w:rPr>
              <w:t>2</w:t>
            </w:r>
          </w:p>
        </w:tc>
        <w:tc>
          <w:tcPr>
            <w:tcW w:w="2252" w:type="dxa"/>
            <w:tcBorders>
              <w:top w:val="single" w:color="000000" w:sz="4" w:space="0"/>
            </w:tcBorders>
            <w:vAlign w:val="bottom"/>
          </w:tcPr>
          <w:p>
            <w:pPr>
              <w:jc w:val="center"/>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jc w:val="center"/>
        </w:trPr>
        <w:tc>
          <w:tcPr>
            <w:tcW w:w="795" w:type="dxa"/>
            <w:vMerge w:val="continue"/>
            <w:vAlign w:val="center"/>
          </w:tcPr>
          <w:p>
            <w:pPr>
              <w:spacing w:line="240" w:lineRule="atLeast"/>
              <w:jc w:val="center"/>
              <w:rPr>
                <w:rFonts w:ascii="宋体" w:hAnsi="宋体"/>
                <w:szCs w:val="21"/>
              </w:rPr>
            </w:pPr>
          </w:p>
        </w:tc>
        <w:tc>
          <w:tcPr>
            <w:tcW w:w="1890" w:type="dxa"/>
            <w:gridSpan w:val="2"/>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专业群平台课</w:t>
            </w:r>
          </w:p>
        </w:tc>
        <w:tc>
          <w:tcPr>
            <w:tcW w:w="1623" w:type="dxa"/>
            <w:tcBorders>
              <w:bottom w:val="single" w:color="000000" w:sz="4" w:space="0"/>
              <w:right w:val="single" w:color="000000" w:sz="4" w:space="0"/>
            </w:tcBorders>
            <w:vAlign w:val="center"/>
          </w:tcPr>
          <w:p>
            <w:pPr>
              <w:spacing w:line="240" w:lineRule="atLeast"/>
              <w:jc w:val="center"/>
              <w:rPr>
                <w:rFonts w:ascii="宋体" w:hAnsi="宋体"/>
                <w:szCs w:val="21"/>
              </w:rPr>
            </w:pPr>
            <w:r>
              <w:rPr>
                <w:rFonts w:hint="eastAsia" w:ascii="宋体" w:hAnsi="宋体"/>
                <w:szCs w:val="21"/>
              </w:rPr>
              <w:t>必修</w:t>
            </w:r>
          </w:p>
        </w:tc>
        <w:tc>
          <w:tcPr>
            <w:tcW w:w="1440" w:type="dxa"/>
            <w:tcBorders>
              <w:left w:val="single" w:color="000000" w:sz="4" w:space="0"/>
              <w:bottom w:val="single" w:color="000000" w:sz="4" w:space="0"/>
            </w:tcBorders>
            <w:vAlign w:val="bottom"/>
          </w:tcPr>
          <w:p>
            <w:pPr>
              <w:jc w:val="center"/>
              <w:rPr>
                <w:rFonts w:ascii="宋体" w:hAnsi="宋体" w:cs="宋体"/>
                <w:szCs w:val="21"/>
              </w:rPr>
            </w:pPr>
            <w:r>
              <w:rPr>
                <w:rFonts w:hint="eastAsia" w:ascii="宋体" w:hAnsi="宋体"/>
                <w:szCs w:val="21"/>
              </w:rPr>
              <w:t>176</w:t>
            </w:r>
          </w:p>
        </w:tc>
        <w:tc>
          <w:tcPr>
            <w:tcW w:w="1368" w:type="dxa"/>
            <w:tcBorders>
              <w:bottom w:val="single" w:color="000000" w:sz="4" w:space="0"/>
            </w:tcBorders>
            <w:vAlign w:val="bottom"/>
          </w:tcPr>
          <w:p>
            <w:pPr>
              <w:jc w:val="center"/>
              <w:rPr>
                <w:rFonts w:ascii="宋体" w:hAnsi="宋体" w:cs="宋体"/>
                <w:szCs w:val="21"/>
              </w:rPr>
            </w:pPr>
            <w:r>
              <w:rPr>
                <w:rFonts w:hint="eastAsia" w:ascii="宋体" w:hAnsi="宋体"/>
                <w:szCs w:val="21"/>
              </w:rPr>
              <w:t>11</w:t>
            </w:r>
          </w:p>
        </w:tc>
        <w:tc>
          <w:tcPr>
            <w:tcW w:w="2252" w:type="dxa"/>
            <w:tcBorders>
              <w:bottom w:val="single" w:color="000000" w:sz="4" w:space="0"/>
            </w:tcBorders>
            <w:vAlign w:val="bottom"/>
          </w:tcPr>
          <w:p>
            <w:pPr>
              <w:jc w:val="center"/>
              <w:rPr>
                <w:rFonts w:ascii="宋体" w:hAnsi="宋体" w:cs="宋体"/>
                <w:color w:val="000000"/>
                <w:szCs w:val="21"/>
              </w:rPr>
            </w:pPr>
            <w:r>
              <w:rPr>
                <w:rFonts w:hint="eastAsia" w:ascii="宋体" w:hAnsi="宋体"/>
                <w:color w:val="00000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1890" w:type="dxa"/>
            <w:gridSpan w:val="2"/>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专业基础课</w:t>
            </w:r>
          </w:p>
        </w:tc>
        <w:tc>
          <w:tcPr>
            <w:tcW w:w="1623" w:type="dxa"/>
            <w:tcBorders>
              <w:bottom w:val="single" w:color="000000" w:sz="4" w:space="0"/>
              <w:right w:val="single" w:color="000000" w:sz="4" w:space="0"/>
            </w:tcBorders>
            <w:vAlign w:val="center"/>
          </w:tcPr>
          <w:p>
            <w:pPr>
              <w:spacing w:line="240" w:lineRule="atLeast"/>
              <w:jc w:val="center"/>
              <w:rPr>
                <w:rFonts w:ascii="宋体" w:hAnsi="宋体"/>
                <w:szCs w:val="21"/>
              </w:rPr>
            </w:pPr>
            <w:r>
              <w:rPr>
                <w:rFonts w:hint="eastAsia" w:ascii="宋体" w:hAnsi="宋体"/>
                <w:szCs w:val="21"/>
              </w:rPr>
              <w:t>必修</w:t>
            </w:r>
          </w:p>
        </w:tc>
        <w:tc>
          <w:tcPr>
            <w:tcW w:w="1440" w:type="dxa"/>
            <w:tcBorders>
              <w:left w:val="single" w:color="000000" w:sz="4" w:space="0"/>
              <w:bottom w:val="single" w:color="000000" w:sz="4" w:space="0"/>
            </w:tcBorders>
            <w:vAlign w:val="bottom"/>
          </w:tcPr>
          <w:p>
            <w:pPr>
              <w:jc w:val="center"/>
              <w:rPr>
                <w:rFonts w:ascii="宋体" w:hAnsi="宋体" w:cs="宋体"/>
                <w:szCs w:val="21"/>
              </w:rPr>
            </w:pPr>
            <w:r>
              <w:rPr>
                <w:rFonts w:hint="eastAsia" w:ascii="宋体" w:hAnsi="宋体"/>
                <w:szCs w:val="21"/>
              </w:rPr>
              <w:t>404</w:t>
            </w:r>
          </w:p>
        </w:tc>
        <w:tc>
          <w:tcPr>
            <w:tcW w:w="1368" w:type="dxa"/>
            <w:tcBorders>
              <w:bottom w:val="single" w:color="000000" w:sz="4" w:space="0"/>
            </w:tcBorders>
            <w:vAlign w:val="bottom"/>
          </w:tcPr>
          <w:p>
            <w:pPr>
              <w:jc w:val="center"/>
              <w:rPr>
                <w:rFonts w:ascii="宋体" w:hAnsi="宋体" w:cs="宋体"/>
                <w:szCs w:val="21"/>
              </w:rPr>
            </w:pPr>
            <w:r>
              <w:rPr>
                <w:rFonts w:hint="eastAsia" w:ascii="宋体" w:hAnsi="宋体"/>
                <w:szCs w:val="21"/>
              </w:rPr>
              <w:t>23</w:t>
            </w:r>
          </w:p>
        </w:tc>
        <w:tc>
          <w:tcPr>
            <w:tcW w:w="2252" w:type="dxa"/>
            <w:tcBorders>
              <w:bottom w:val="single" w:color="000000" w:sz="4" w:space="0"/>
            </w:tcBorders>
            <w:vAlign w:val="bottom"/>
          </w:tcPr>
          <w:p>
            <w:pPr>
              <w:jc w:val="center"/>
              <w:rPr>
                <w:rFonts w:ascii="宋体" w:hAnsi="宋体" w:cs="宋体"/>
                <w:color w:val="000000"/>
                <w:szCs w:val="21"/>
              </w:rPr>
            </w:pPr>
            <w:r>
              <w:rPr>
                <w:rFonts w:hint="eastAsia" w:ascii="宋体" w:hAnsi="宋体"/>
                <w:color w:val="000000"/>
                <w:szCs w:val="21"/>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1890" w:type="dxa"/>
            <w:gridSpan w:val="2"/>
            <w:vAlign w:val="center"/>
          </w:tcPr>
          <w:p>
            <w:pPr>
              <w:spacing w:line="240" w:lineRule="atLeast"/>
              <w:jc w:val="center"/>
              <w:rPr>
                <w:rFonts w:ascii="宋体" w:hAnsi="宋体"/>
                <w:szCs w:val="21"/>
              </w:rPr>
            </w:pPr>
            <w:r>
              <w:rPr>
                <w:rFonts w:hint="eastAsia" w:ascii="宋体" w:hAnsi="宋体"/>
                <w:szCs w:val="21"/>
              </w:rPr>
              <w:t>专业课</w:t>
            </w:r>
          </w:p>
        </w:tc>
        <w:tc>
          <w:tcPr>
            <w:tcW w:w="1623" w:type="dxa"/>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必修</w:t>
            </w:r>
          </w:p>
        </w:tc>
        <w:tc>
          <w:tcPr>
            <w:tcW w:w="1440" w:type="dxa"/>
            <w:tcBorders>
              <w:left w:val="single" w:color="000000" w:sz="4" w:space="0"/>
            </w:tcBorders>
            <w:vAlign w:val="bottom"/>
          </w:tcPr>
          <w:p>
            <w:pPr>
              <w:jc w:val="center"/>
              <w:rPr>
                <w:rFonts w:ascii="宋体" w:hAnsi="宋体" w:cs="宋体"/>
                <w:szCs w:val="21"/>
              </w:rPr>
            </w:pPr>
            <w:r>
              <w:rPr>
                <w:rFonts w:hint="eastAsia" w:ascii="宋体" w:hAnsi="宋体"/>
                <w:szCs w:val="21"/>
              </w:rPr>
              <w:t>536</w:t>
            </w:r>
          </w:p>
        </w:tc>
        <w:tc>
          <w:tcPr>
            <w:tcW w:w="1368" w:type="dxa"/>
            <w:vAlign w:val="bottom"/>
          </w:tcPr>
          <w:p>
            <w:pPr>
              <w:jc w:val="center"/>
              <w:rPr>
                <w:rFonts w:ascii="宋体" w:hAnsi="宋体" w:cs="宋体"/>
                <w:szCs w:val="21"/>
              </w:rPr>
            </w:pPr>
            <w:r>
              <w:rPr>
                <w:rFonts w:hint="eastAsia" w:ascii="宋体" w:hAnsi="宋体"/>
                <w:szCs w:val="21"/>
              </w:rPr>
              <w:t>32</w:t>
            </w:r>
          </w:p>
        </w:tc>
        <w:tc>
          <w:tcPr>
            <w:tcW w:w="2252" w:type="dxa"/>
            <w:vAlign w:val="bottom"/>
          </w:tcPr>
          <w:p>
            <w:pPr>
              <w:jc w:val="center"/>
              <w:rPr>
                <w:rFonts w:ascii="宋体" w:hAnsi="宋体" w:cs="宋体"/>
                <w:szCs w:val="21"/>
              </w:rPr>
            </w:pPr>
            <w:r>
              <w:rPr>
                <w:rFonts w:hint="eastAsia" w:ascii="宋体" w:hAnsi="宋体"/>
                <w:szCs w:val="21"/>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1890" w:type="dxa"/>
            <w:gridSpan w:val="2"/>
            <w:vAlign w:val="center"/>
          </w:tcPr>
          <w:p>
            <w:pPr>
              <w:spacing w:line="240" w:lineRule="atLeast"/>
              <w:jc w:val="center"/>
              <w:rPr>
                <w:rFonts w:ascii="宋体" w:hAnsi="宋体"/>
                <w:szCs w:val="21"/>
              </w:rPr>
            </w:pPr>
            <w:r>
              <w:rPr>
                <w:rFonts w:hint="eastAsia" w:ascii="宋体" w:hAnsi="宋体"/>
                <w:szCs w:val="21"/>
              </w:rPr>
              <w:t>专业拓展课</w:t>
            </w:r>
          </w:p>
        </w:tc>
        <w:tc>
          <w:tcPr>
            <w:tcW w:w="1623" w:type="dxa"/>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选修</w:t>
            </w:r>
          </w:p>
        </w:tc>
        <w:tc>
          <w:tcPr>
            <w:tcW w:w="1440" w:type="dxa"/>
            <w:tcBorders>
              <w:left w:val="single" w:color="000000" w:sz="4" w:space="0"/>
            </w:tcBorders>
            <w:vAlign w:val="bottom"/>
          </w:tcPr>
          <w:p>
            <w:pPr>
              <w:jc w:val="center"/>
              <w:rPr>
                <w:rFonts w:ascii="宋体" w:hAnsi="宋体" w:cs="宋体"/>
                <w:szCs w:val="21"/>
              </w:rPr>
            </w:pPr>
            <w:r>
              <w:rPr>
                <w:rFonts w:hint="eastAsia" w:ascii="宋体" w:hAnsi="宋体"/>
                <w:szCs w:val="21"/>
              </w:rPr>
              <w:t>256</w:t>
            </w:r>
          </w:p>
        </w:tc>
        <w:tc>
          <w:tcPr>
            <w:tcW w:w="1368" w:type="dxa"/>
            <w:vAlign w:val="bottom"/>
          </w:tcPr>
          <w:p>
            <w:pPr>
              <w:jc w:val="center"/>
              <w:rPr>
                <w:rFonts w:ascii="宋体" w:hAnsi="宋体" w:cs="宋体"/>
                <w:szCs w:val="21"/>
              </w:rPr>
            </w:pPr>
            <w:r>
              <w:rPr>
                <w:rFonts w:hint="eastAsia" w:ascii="宋体" w:hAnsi="宋体"/>
                <w:szCs w:val="21"/>
              </w:rPr>
              <w:t>16</w:t>
            </w:r>
          </w:p>
        </w:tc>
        <w:tc>
          <w:tcPr>
            <w:tcW w:w="2252" w:type="dxa"/>
            <w:vAlign w:val="bottom"/>
          </w:tcPr>
          <w:p>
            <w:pPr>
              <w:jc w:val="center"/>
              <w:rPr>
                <w:rFonts w:ascii="宋体" w:hAnsi="宋体" w:cs="宋体"/>
                <w:szCs w:val="21"/>
              </w:rPr>
            </w:pPr>
            <w:r>
              <w:rPr>
                <w:rFonts w:hint="eastAsia" w:ascii="宋体" w:hAnsi="宋体"/>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3513" w:type="dxa"/>
            <w:gridSpan w:val="3"/>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合计</w:t>
            </w:r>
          </w:p>
        </w:tc>
        <w:tc>
          <w:tcPr>
            <w:tcW w:w="1440" w:type="dxa"/>
            <w:tcBorders>
              <w:left w:val="single" w:color="000000"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2114</w:t>
            </w:r>
          </w:p>
        </w:tc>
        <w:tc>
          <w:tcPr>
            <w:tcW w:w="1368" w:type="dxa"/>
            <w:tcBorders>
              <w:right w:val="single" w:color="000000" w:sz="4" w:space="0"/>
            </w:tcBorders>
            <w:vAlign w:val="center"/>
          </w:tcPr>
          <w:p>
            <w:pPr>
              <w:jc w:val="center"/>
              <w:rPr>
                <w:rFonts w:hint="default" w:ascii="宋体" w:hAnsi="宋体" w:eastAsia="宋体"/>
                <w:szCs w:val="21"/>
                <w:lang w:val="en-US" w:eastAsia="zh-CN"/>
              </w:rPr>
            </w:pPr>
            <w:r>
              <w:rPr>
                <w:rFonts w:hint="eastAsia" w:ascii="宋体" w:hAnsi="宋体"/>
                <w:szCs w:val="21"/>
                <w:lang w:val="en-US" w:eastAsia="zh-CN"/>
              </w:rPr>
              <w:t>131</w:t>
            </w:r>
          </w:p>
        </w:tc>
        <w:tc>
          <w:tcPr>
            <w:tcW w:w="2252" w:type="dxa"/>
            <w:tcBorders>
              <w:left w:val="single" w:color="000000" w:sz="4" w:space="0"/>
            </w:tcBorders>
            <w:vAlign w:val="center"/>
          </w:tcPr>
          <w:p>
            <w:pPr>
              <w:jc w:val="center"/>
              <w:rPr>
                <w:rFonts w:hint="default" w:ascii="宋体" w:hAnsi="宋体" w:eastAsia="宋体"/>
                <w:szCs w:val="21"/>
                <w:lang w:val="en-US" w:eastAsia="zh-CN"/>
              </w:rPr>
            </w:pPr>
            <w:r>
              <w:rPr>
                <w:rFonts w:hint="eastAsia" w:ascii="宋体" w:hAnsi="宋体"/>
                <w:szCs w:val="21"/>
              </w:rPr>
              <w:t>8</w:t>
            </w:r>
            <w:r>
              <w:rPr>
                <w:rFonts w:hint="eastAsia" w:ascii="宋体" w:hAnsi="宋体"/>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3513" w:type="dxa"/>
            <w:gridSpan w:val="3"/>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选修课占总学分比例</w:t>
            </w:r>
          </w:p>
        </w:tc>
        <w:tc>
          <w:tcPr>
            <w:tcW w:w="5060" w:type="dxa"/>
            <w:gridSpan w:val="3"/>
            <w:tcBorders>
              <w:left w:val="single" w:color="000000" w:sz="4" w:space="0"/>
            </w:tcBorders>
            <w:vAlign w:val="center"/>
          </w:tcPr>
          <w:p>
            <w:pPr>
              <w:spacing w:line="240" w:lineRule="atLeast"/>
              <w:jc w:val="center"/>
              <w:rPr>
                <w:rFonts w:ascii="宋体" w:hAnsi="宋体"/>
                <w:szCs w:val="21"/>
              </w:rPr>
            </w:pPr>
            <w:r>
              <w:rPr>
                <w:rFonts w:hint="eastAsia" w:ascii="宋体" w:hAnsi="宋体"/>
                <w:szCs w:val="21"/>
                <w:lang w:val="en-US" w:eastAsia="zh-CN"/>
              </w:rPr>
              <w:t>29.01</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3513" w:type="dxa"/>
            <w:gridSpan w:val="3"/>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实践学时占总学时比例</w:t>
            </w:r>
          </w:p>
        </w:tc>
        <w:tc>
          <w:tcPr>
            <w:tcW w:w="5060" w:type="dxa"/>
            <w:gridSpan w:val="3"/>
            <w:tcBorders>
              <w:left w:val="single" w:color="000000" w:sz="4" w:space="0"/>
            </w:tcBorders>
            <w:vAlign w:val="center"/>
          </w:tcPr>
          <w:p>
            <w:pPr>
              <w:spacing w:line="240" w:lineRule="atLeast"/>
              <w:jc w:val="center"/>
              <w:rPr>
                <w:rFonts w:ascii="宋体" w:hAnsi="宋体"/>
                <w:szCs w:val="21"/>
              </w:rPr>
            </w:pPr>
            <w:r>
              <w:rPr>
                <w:rFonts w:hint="eastAsia" w:ascii="宋体" w:hAnsi="宋体"/>
                <w:szCs w:val="21"/>
                <w:lang w:val="en-US" w:eastAsia="zh-CN"/>
              </w:rPr>
              <w:t>38.79</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restart"/>
            <w:vAlign w:val="center"/>
          </w:tcPr>
          <w:p>
            <w:pPr>
              <w:spacing w:line="240" w:lineRule="atLeast"/>
              <w:jc w:val="center"/>
              <w:rPr>
                <w:rFonts w:ascii="宋体" w:hAnsi="宋体"/>
                <w:szCs w:val="21"/>
              </w:rPr>
            </w:pPr>
            <w:r>
              <w:rPr>
                <w:rFonts w:hint="eastAsia" w:ascii="宋体" w:hAnsi="宋体"/>
                <w:szCs w:val="21"/>
              </w:rPr>
              <w:t>大三</w:t>
            </w:r>
          </w:p>
        </w:tc>
        <w:tc>
          <w:tcPr>
            <w:tcW w:w="1800" w:type="dxa"/>
            <w:vMerge w:val="restart"/>
            <w:vAlign w:val="center"/>
          </w:tcPr>
          <w:p>
            <w:pPr>
              <w:spacing w:line="240" w:lineRule="atLeast"/>
              <w:jc w:val="center"/>
              <w:rPr>
                <w:rFonts w:ascii="宋体" w:hAnsi="宋体"/>
                <w:szCs w:val="21"/>
              </w:rPr>
            </w:pPr>
            <w:r>
              <w:rPr>
                <w:rFonts w:hint="eastAsia" w:ascii="宋体" w:hAnsi="宋体"/>
                <w:szCs w:val="21"/>
              </w:rPr>
              <w:t>专业课</w:t>
            </w:r>
          </w:p>
        </w:tc>
        <w:tc>
          <w:tcPr>
            <w:tcW w:w="1713" w:type="dxa"/>
            <w:gridSpan w:val="2"/>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必修</w:t>
            </w:r>
          </w:p>
        </w:tc>
        <w:tc>
          <w:tcPr>
            <w:tcW w:w="1440" w:type="dxa"/>
            <w:tcBorders>
              <w:left w:val="single" w:color="000000" w:sz="4" w:space="0"/>
            </w:tcBorders>
            <w:vAlign w:val="center"/>
          </w:tcPr>
          <w:p>
            <w:pPr>
              <w:jc w:val="center"/>
              <w:rPr>
                <w:rFonts w:ascii="宋体" w:hAnsi="宋体" w:cs="宋体"/>
                <w:szCs w:val="21"/>
              </w:rPr>
            </w:pPr>
            <w:r>
              <w:rPr>
                <w:rFonts w:hint="eastAsia" w:ascii="宋体" w:hAnsi="宋体"/>
                <w:szCs w:val="21"/>
              </w:rPr>
              <w:t>744</w:t>
            </w:r>
          </w:p>
        </w:tc>
        <w:tc>
          <w:tcPr>
            <w:tcW w:w="1368" w:type="dxa"/>
            <w:tcBorders>
              <w:left w:val="single" w:color="000000" w:sz="4" w:space="0"/>
            </w:tcBorders>
            <w:vAlign w:val="center"/>
          </w:tcPr>
          <w:p>
            <w:pPr>
              <w:jc w:val="center"/>
              <w:rPr>
                <w:rFonts w:ascii="宋体" w:hAnsi="宋体" w:cs="宋体"/>
                <w:szCs w:val="21"/>
              </w:rPr>
            </w:pPr>
            <w:r>
              <w:rPr>
                <w:rFonts w:hint="eastAsia" w:ascii="宋体" w:hAnsi="宋体"/>
                <w:szCs w:val="21"/>
              </w:rPr>
              <w:t>38</w:t>
            </w:r>
          </w:p>
        </w:tc>
        <w:tc>
          <w:tcPr>
            <w:tcW w:w="2252" w:type="dxa"/>
            <w:tcBorders>
              <w:left w:val="single" w:color="000000" w:sz="4" w:space="0"/>
            </w:tcBorders>
            <w:vAlign w:val="center"/>
          </w:tcPr>
          <w:p>
            <w:pPr>
              <w:jc w:val="center"/>
              <w:rPr>
                <w:rFonts w:ascii="宋体" w:hAnsi="宋体" w:cs="宋体"/>
                <w:szCs w:val="21"/>
              </w:rPr>
            </w:pPr>
            <w:r>
              <w:rPr>
                <w:rFonts w:hint="eastAsia" w:ascii="宋体" w:hAnsi="宋体"/>
                <w:szCs w:val="21"/>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1800" w:type="dxa"/>
            <w:vMerge w:val="continue"/>
            <w:vAlign w:val="center"/>
          </w:tcPr>
          <w:p>
            <w:pPr>
              <w:spacing w:line="240" w:lineRule="atLeast"/>
              <w:jc w:val="center"/>
              <w:rPr>
                <w:rFonts w:ascii="宋体" w:hAnsi="宋体"/>
                <w:szCs w:val="21"/>
              </w:rPr>
            </w:pPr>
          </w:p>
        </w:tc>
        <w:tc>
          <w:tcPr>
            <w:tcW w:w="1713" w:type="dxa"/>
            <w:gridSpan w:val="2"/>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选修</w:t>
            </w:r>
          </w:p>
        </w:tc>
        <w:tc>
          <w:tcPr>
            <w:tcW w:w="1440" w:type="dxa"/>
            <w:tcBorders>
              <w:left w:val="single" w:color="000000" w:sz="4" w:space="0"/>
            </w:tcBorders>
            <w:vAlign w:val="center"/>
          </w:tcPr>
          <w:p>
            <w:pPr>
              <w:spacing w:line="240" w:lineRule="atLeast"/>
              <w:jc w:val="center"/>
              <w:rPr>
                <w:rFonts w:ascii="宋体" w:hAnsi="宋体"/>
                <w:szCs w:val="21"/>
              </w:rPr>
            </w:pPr>
          </w:p>
        </w:tc>
        <w:tc>
          <w:tcPr>
            <w:tcW w:w="1368" w:type="dxa"/>
            <w:tcBorders>
              <w:left w:val="single" w:color="000000" w:sz="4" w:space="0"/>
            </w:tcBorders>
            <w:vAlign w:val="center"/>
          </w:tcPr>
          <w:p>
            <w:pPr>
              <w:spacing w:line="240" w:lineRule="atLeast"/>
              <w:jc w:val="center"/>
              <w:rPr>
                <w:rFonts w:ascii="宋体" w:hAnsi="宋体"/>
                <w:szCs w:val="21"/>
              </w:rPr>
            </w:pPr>
          </w:p>
        </w:tc>
        <w:tc>
          <w:tcPr>
            <w:tcW w:w="2252" w:type="dxa"/>
            <w:tcBorders>
              <w:left w:val="single" w:color="000000" w:sz="4" w:space="0"/>
            </w:tcBorders>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jc w:val="center"/>
        </w:trPr>
        <w:tc>
          <w:tcPr>
            <w:tcW w:w="795" w:type="dxa"/>
            <w:vMerge w:val="restart"/>
            <w:vAlign w:val="center"/>
          </w:tcPr>
          <w:p>
            <w:pPr>
              <w:spacing w:line="240" w:lineRule="atLeast"/>
              <w:jc w:val="center"/>
              <w:rPr>
                <w:rFonts w:ascii="宋体" w:hAnsi="宋体"/>
                <w:szCs w:val="21"/>
              </w:rPr>
            </w:pPr>
            <w:r>
              <w:rPr>
                <w:rFonts w:hint="eastAsia" w:ascii="宋体" w:hAnsi="宋体"/>
                <w:szCs w:val="21"/>
              </w:rPr>
              <w:t>总计</w:t>
            </w:r>
          </w:p>
        </w:tc>
        <w:tc>
          <w:tcPr>
            <w:tcW w:w="3513" w:type="dxa"/>
            <w:gridSpan w:val="3"/>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公共基础课占总学时比例</w:t>
            </w:r>
          </w:p>
        </w:tc>
        <w:tc>
          <w:tcPr>
            <w:tcW w:w="5060" w:type="dxa"/>
            <w:gridSpan w:val="3"/>
            <w:tcBorders>
              <w:left w:val="single" w:color="000000" w:sz="4" w:space="0"/>
            </w:tcBorders>
            <w:vAlign w:val="center"/>
          </w:tcPr>
          <w:p>
            <w:pPr>
              <w:spacing w:line="240" w:lineRule="atLeast"/>
              <w:jc w:val="center"/>
              <w:rPr>
                <w:rFonts w:ascii="宋体" w:hAnsi="宋体"/>
                <w:szCs w:val="21"/>
              </w:rPr>
            </w:pPr>
            <w:r>
              <w:rPr>
                <w:rFonts w:ascii="宋体" w:hAnsi="宋体"/>
                <w:szCs w:val="21"/>
              </w:rPr>
              <w:t>25</w:t>
            </w:r>
            <w:r>
              <w:rPr>
                <w:rFonts w:hint="eastAsia" w:ascii="宋体" w:hAnsi="宋体"/>
                <w:szCs w:val="21"/>
              </w:rPr>
              <w:t>.</w:t>
            </w:r>
            <w:r>
              <w:rPr>
                <w:rFonts w:hint="eastAsia" w:ascii="宋体" w:hAnsi="宋体"/>
                <w:szCs w:val="21"/>
                <w:lang w:val="en-US" w:eastAsia="zh-CN"/>
              </w:rPr>
              <w:t>96</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3513" w:type="dxa"/>
            <w:gridSpan w:val="3"/>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选修课占总学分比例</w:t>
            </w:r>
          </w:p>
        </w:tc>
        <w:tc>
          <w:tcPr>
            <w:tcW w:w="5060" w:type="dxa"/>
            <w:gridSpan w:val="3"/>
            <w:tcBorders>
              <w:left w:val="single" w:color="000000" w:sz="4" w:space="0"/>
            </w:tcBorders>
            <w:vAlign w:val="center"/>
          </w:tcPr>
          <w:p>
            <w:pPr>
              <w:spacing w:line="240" w:lineRule="atLeast"/>
              <w:jc w:val="center"/>
              <w:rPr>
                <w:rFonts w:ascii="宋体" w:hAnsi="宋体"/>
                <w:szCs w:val="21"/>
              </w:rPr>
            </w:pPr>
            <w:r>
              <w:rPr>
                <w:rFonts w:hint="eastAsia" w:ascii="宋体" w:hAnsi="宋体"/>
                <w:szCs w:val="21"/>
                <w:lang w:val="en-US" w:eastAsia="zh-CN"/>
              </w:rPr>
              <w:t>22.49</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95" w:type="dxa"/>
            <w:vMerge w:val="continue"/>
            <w:vAlign w:val="center"/>
          </w:tcPr>
          <w:p>
            <w:pPr>
              <w:spacing w:line="240" w:lineRule="atLeast"/>
              <w:jc w:val="center"/>
              <w:rPr>
                <w:rFonts w:ascii="宋体" w:hAnsi="宋体"/>
                <w:szCs w:val="21"/>
              </w:rPr>
            </w:pPr>
          </w:p>
        </w:tc>
        <w:tc>
          <w:tcPr>
            <w:tcW w:w="3513" w:type="dxa"/>
            <w:gridSpan w:val="3"/>
            <w:tcBorders>
              <w:right w:val="single" w:color="000000" w:sz="4" w:space="0"/>
            </w:tcBorders>
            <w:vAlign w:val="center"/>
          </w:tcPr>
          <w:p>
            <w:pPr>
              <w:spacing w:line="240" w:lineRule="atLeast"/>
              <w:jc w:val="center"/>
              <w:rPr>
                <w:rFonts w:ascii="宋体" w:hAnsi="宋体"/>
                <w:szCs w:val="21"/>
              </w:rPr>
            </w:pPr>
            <w:r>
              <w:rPr>
                <w:rFonts w:hint="eastAsia" w:ascii="宋体" w:hAnsi="宋体"/>
                <w:szCs w:val="21"/>
              </w:rPr>
              <w:t>实践学时占总学时比例</w:t>
            </w:r>
          </w:p>
        </w:tc>
        <w:tc>
          <w:tcPr>
            <w:tcW w:w="5060" w:type="dxa"/>
            <w:gridSpan w:val="3"/>
            <w:tcBorders>
              <w:left w:val="single" w:color="000000" w:sz="4" w:space="0"/>
            </w:tcBorders>
            <w:vAlign w:val="center"/>
          </w:tcPr>
          <w:p>
            <w:pPr>
              <w:spacing w:line="240" w:lineRule="atLeast"/>
              <w:jc w:val="center"/>
              <w:rPr>
                <w:rFonts w:ascii="宋体" w:hAnsi="宋体"/>
                <w:szCs w:val="21"/>
              </w:rPr>
            </w:pPr>
            <w:r>
              <w:rPr>
                <w:rFonts w:hint="eastAsia" w:ascii="宋体" w:hAnsi="宋体"/>
                <w:szCs w:val="21"/>
                <w:lang w:val="en-US" w:eastAsia="zh-CN"/>
              </w:rPr>
              <w:t>52.48</w:t>
            </w:r>
            <w:r>
              <w:rPr>
                <w:rFonts w:ascii="宋体" w:hAnsi="宋体"/>
                <w:szCs w:val="21"/>
              </w:rPr>
              <w:t>%</w:t>
            </w:r>
          </w:p>
        </w:tc>
      </w:tr>
    </w:tbl>
    <w:p>
      <w:pPr>
        <w:pStyle w:val="2"/>
        <w:bidi w:val="0"/>
        <w:rPr>
          <w:rFonts w:hint="eastAsia" w:ascii="Times New Roman" w:hAnsi="Times New Roman" w:cs="Times New Roman"/>
          <w:b w:val="0"/>
          <w:lang w:val="en-US" w:eastAsia="zh-CN"/>
        </w:rPr>
      </w:pPr>
      <w:bookmarkStart w:id="819" w:name="_Toc17904"/>
      <w:bookmarkStart w:id="820" w:name="_Toc22491"/>
      <w:bookmarkStart w:id="821" w:name="_Toc15915"/>
      <w:r>
        <w:rPr>
          <w:rFonts w:hint="eastAsia" w:ascii="Times New Roman" w:hAnsi="Times New Roman" w:cs="Times New Roman"/>
          <w:b w:val="0"/>
          <w:lang w:val="en-US" w:eastAsia="zh-CN"/>
        </w:rPr>
        <w:t>八、实施保障</w:t>
      </w:r>
      <w:bookmarkEnd w:id="819"/>
      <w:bookmarkEnd w:id="820"/>
      <w:bookmarkEnd w:id="821"/>
    </w:p>
    <w:p>
      <w:pPr>
        <w:keepNext w:val="0"/>
        <w:keepLines w:val="0"/>
        <w:pageBreakBefore w:val="0"/>
        <w:kinsoku/>
        <w:wordWrap/>
        <w:overflowPunct/>
        <w:topLinePunct w:val="0"/>
        <w:autoSpaceDE/>
        <w:autoSpaceDN/>
        <w:bidi w:val="0"/>
        <w:spacing w:line="240" w:lineRule="auto"/>
        <w:ind w:left="0" w:leftChars="0" w:firstLine="480" w:firstLineChars="200"/>
        <w:textAlignment w:val="auto"/>
        <w:rPr>
          <w:rFonts w:ascii="宋体" w:hAnsi="宋体"/>
          <w:sz w:val="24"/>
        </w:rPr>
      </w:pPr>
      <w:r>
        <w:rPr>
          <w:rFonts w:hint="eastAsia" w:ascii="宋体" w:hAnsi="宋体"/>
          <w:sz w:val="24"/>
        </w:rPr>
        <w:t>充分发挥专业群建设的共享辐射作用，本专业与工程造价专业共享师资、实训基地、教学资源等，具体实施保障如下：</w:t>
      </w:r>
    </w:p>
    <w:p>
      <w:pPr>
        <w:pStyle w:val="3"/>
        <w:bidi w:val="0"/>
        <w:ind w:firstLine="880"/>
        <w:rPr>
          <w:rFonts w:hint="eastAsia" w:ascii="Arial" w:hAnsi="Arial" w:eastAsia="宋体" w:cs="Times New Roman"/>
          <w:lang w:val="en-US" w:eastAsia="zh-CN"/>
        </w:rPr>
      </w:pPr>
      <w:bookmarkStart w:id="822" w:name="_Toc6597"/>
      <w:bookmarkStart w:id="823" w:name="_Toc15749"/>
      <w:bookmarkStart w:id="824" w:name="_Toc10945"/>
      <w:r>
        <w:rPr>
          <w:rFonts w:hint="eastAsia" w:ascii="Arial" w:hAnsi="Arial" w:eastAsia="宋体" w:cs="Times New Roman"/>
          <w:lang w:val="en-US" w:eastAsia="zh-CN"/>
        </w:rPr>
        <w:t>（一）师资队伍</w:t>
      </w:r>
      <w:bookmarkEnd w:id="822"/>
      <w:bookmarkEnd w:id="823"/>
      <w:bookmarkEnd w:id="824"/>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cs="宋体"/>
          <w:szCs w:val="21"/>
        </w:rPr>
        <w:t>专业群师资团队有省级教坛新秀、省高职高专专业带头人多人。专任教师中高级职称教师比例占50%以上；具有硕士学历学位占</w:t>
      </w:r>
      <w:r>
        <w:rPr>
          <w:rFonts w:hint="eastAsia" w:cs="宋体"/>
          <w:szCs w:val="21"/>
          <w:lang w:val="en-US" w:eastAsia="zh-CN"/>
        </w:rPr>
        <w:t>85</w:t>
      </w:r>
      <w:r>
        <w:rPr>
          <w:rFonts w:hint="eastAsia" w:cs="宋体"/>
          <w:szCs w:val="21"/>
        </w:rPr>
        <w:t>%以上；双师型教师占</w:t>
      </w:r>
      <w:r>
        <w:rPr>
          <w:rFonts w:hint="eastAsia" w:cs="宋体"/>
          <w:szCs w:val="21"/>
          <w:lang w:val="en-US" w:eastAsia="zh-CN"/>
        </w:rPr>
        <w:t>95</w:t>
      </w:r>
      <w:r>
        <w:rPr>
          <w:rFonts w:hint="eastAsia" w:cs="宋体"/>
          <w:szCs w:val="21"/>
        </w:rPr>
        <w:t>%</w:t>
      </w:r>
      <w:r>
        <w:rPr>
          <w:rFonts w:hint="eastAsia" w:cs="宋体"/>
          <w:szCs w:val="21"/>
          <w:lang w:val="en-US" w:eastAsia="zh-CN"/>
        </w:rPr>
        <w:t>以上</w:t>
      </w:r>
      <w:r>
        <w:rPr>
          <w:rFonts w:hint="eastAsia" w:cs="宋体"/>
          <w:szCs w:val="21"/>
        </w:rPr>
        <w:t>，</w:t>
      </w:r>
      <w:r>
        <w:rPr>
          <w:rFonts w:hint="eastAsia" w:ascii="Times New Roman" w:hAnsi="Times New Roman" w:cs="宋体"/>
        </w:rPr>
        <w:t>其中50%以上教师具备国家注册执业资格，主持各级各类课题60余项，并有较强的专利发明能力，近五年获专利数近50项，积极为社会和企业提供</w:t>
      </w:r>
      <w:r>
        <w:rPr>
          <w:rFonts w:hint="eastAsia" w:ascii="Times New Roman" w:hAnsi="Times New Roman" w:cs="宋体"/>
          <w:lang w:val="en-US" w:eastAsia="zh-CN"/>
        </w:rPr>
        <w:t>工程管理</w:t>
      </w:r>
      <w:r>
        <w:rPr>
          <w:rFonts w:hint="eastAsia" w:ascii="Times New Roman" w:hAnsi="Times New Roman" w:cs="宋体"/>
        </w:rPr>
        <w:t>咨询、人员培训等服务，团队社会影响力大幅提高。</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rFonts w:ascii="Times New Roman" w:hAnsi="Times New Roman" w:cs="宋体"/>
        </w:rPr>
      </w:pPr>
      <w:r>
        <w:rPr>
          <w:rFonts w:hint="eastAsia" w:ascii="Times New Roman" w:hAnsi="Times New Roman" w:cs="宋体"/>
        </w:rPr>
        <w:t>充分发挥企业办学优势，利用</w:t>
      </w:r>
      <w:r>
        <w:rPr>
          <w:rFonts w:hint="eastAsia" w:ascii="Times New Roman" w:hAnsi="Times New Roman" w:cs="宋体"/>
          <w:lang w:val="en-US" w:eastAsia="zh-CN"/>
        </w:rPr>
        <w:t>校企合作</w:t>
      </w:r>
      <w:r>
        <w:rPr>
          <w:rFonts w:hint="eastAsia" w:ascii="Times New Roman" w:hAnsi="Times New Roman" w:cs="宋体"/>
        </w:rPr>
        <w:t>企业的专业和技术骨干资源，充分发挥校企合作企业资源，积极从行业企业聘请专家、技术骨干、能工巧匠等担任兼职教师，参与专业建设、课程建设、课堂教学、实训指导等。注重加强对兼职教师高职教育教学能力培训培养和教学评价激励。</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rPr>
        <w:t xml:space="preserve"> 专业</w:t>
      </w:r>
      <w:r>
        <w:rPr>
          <w:rFonts w:hint="eastAsia"/>
        </w:rPr>
        <w:t>拥有</w:t>
      </w:r>
      <w:r>
        <w:t>一支师德高尚、素质优良、 技艺精湛、结构合理、专兼结合的高素质“双师型”教师队伍</w:t>
      </w:r>
      <w:r>
        <w:rPr>
          <w:rFonts w:hint="eastAsia"/>
        </w:rPr>
        <w:t>，满足专业教学需要。</w:t>
      </w:r>
    </w:p>
    <w:p>
      <w:pPr>
        <w:pStyle w:val="3"/>
        <w:bidi w:val="0"/>
        <w:ind w:firstLine="880"/>
        <w:rPr>
          <w:rFonts w:hint="eastAsia" w:ascii="Arial" w:hAnsi="Arial" w:eastAsia="宋体" w:cs="Times New Roman"/>
          <w:lang w:val="en-US" w:eastAsia="zh-CN"/>
        </w:rPr>
      </w:pPr>
      <w:bookmarkStart w:id="825" w:name="_Toc17574"/>
      <w:bookmarkStart w:id="826" w:name="_Toc3651"/>
      <w:bookmarkStart w:id="827" w:name="_Toc21676"/>
      <w:r>
        <w:rPr>
          <w:rFonts w:hint="eastAsia" w:ascii="Arial" w:hAnsi="Arial" w:eastAsia="宋体" w:cs="Times New Roman"/>
          <w:lang w:val="en-US" w:eastAsia="zh-CN"/>
        </w:rPr>
        <w:t>（二）教学设施</w:t>
      </w:r>
      <w:bookmarkEnd w:id="825"/>
      <w:bookmarkEnd w:id="826"/>
      <w:bookmarkEnd w:id="827"/>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lang w:val="en-US" w:eastAsia="zh-CN"/>
        </w:rPr>
        <w:t>1.</w:t>
      </w:r>
      <w:r>
        <w:rPr>
          <w:rFonts w:hint="eastAsia"/>
          <w:kern w:val="2"/>
        </w:rPr>
        <w:t>教室均配备了黑板、多媒体及</w:t>
      </w:r>
      <w:r>
        <w:rPr>
          <w:kern w:val="2"/>
        </w:rPr>
        <w:t>WIFI</w:t>
      </w:r>
      <w:r>
        <w:rPr>
          <w:rFonts w:hint="eastAsia"/>
          <w:kern w:val="2"/>
        </w:rPr>
        <w:t>，满足线上线下混合教学要求。</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lang w:val="en-US" w:eastAsia="zh-CN"/>
        </w:rPr>
        <w:t>2.</w:t>
      </w:r>
      <w:r>
        <w:rPr>
          <w:rFonts w:hint="eastAsia"/>
          <w:kern w:val="2"/>
        </w:rPr>
        <w:t>校内实训基地：现有的建筑工程管理信息化协同创新中心为国家级生产性实训基地、省“十三五”示范实训基地，重点建设了“虚拟技术实验教学中心”和“业税财协同创新中心”两个特色实验实训中心，校企协同共建工程</w:t>
      </w:r>
      <w:r>
        <w:rPr>
          <w:rFonts w:hint="eastAsia"/>
          <w:kern w:val="2"/>
          <w:lang w:val="en-US" w:eastAsia="zh-CN"/>
        </w:rPr>
        <w:t>管理</w:t>
      </w:r>
      <w:r>
        <w:rPr>
          <w:rFonts w:hint="eastAsia"/>
          <w:kern w:val="2"/>
        </w:rPr>
        <w:t>实训中心和财会金融实训中心，建筑面积共3315平米，与土木工程专业群共享建筑工程基础性实训室9222平米，教学仪器设备总值1687余万元，下设实验实训室22个，总工位数850个，并设有造价咨询工作室、建筑设计工坊、BIM咨询工作室3个专业工作室，充分满足了本专业实验实训教学及课外实践活动的开展。</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rPr>
        <w:t>（</w:t>
      </w:r>
      <w:r>
        <w:rPr>
          <w:kern w:val="2"/>
        </w:rPr>
        <w:t>3</w:t>
      </w:r>
      <w:r>
        <w:rPr>
          <w:rFonts w:hint="eastAsia"/>
          <w:kern w:val="2"/>
        </w:rPr>
        <w:t>）校外实训基地：建设了稳定的校外实习基地，与万邦工程管理咨询有限公司、中汇工程咨询有限公司、浙江科佳咨询有限公司等</w:t>
      </w:r>
      <w:r>
        <w:rPr>
          <w:kern w:val="2"/>
        </w:rPr>
        <w:t>20</w:t>
      </w:r>
      <w:r>
        <w:rPr>
          <w:rFonts w:hint="eastAsia"/>
          <w:kern w:val="2"/>
        </w:rPr>
        <w:t>多家企业签订了战略合作协议，为学生顶岗实习提供坚实保障。为教学模式创新和教学方法改革提供支持与保障。</w:t>
      </w:r>
    </w:p>
    <w:p>
      <w:pPr>
        <w:pStyle w:val="3"/>
        <w:bidi w:val="0"/>
        <w:ind w:firstLine="880"/>
        <w:rPr>
          <w:rFonts w:hint="eastAsia" w:ascii="Arial" w:hAnsi="Arial" w:eastAsia="宋体" w:cs="Times New Roman"/>
          <w:lang w:val="en-US" w:eastAsia="zh-CN"/>
        </w:rPr>
      </w:pPr>
      <w:bookmarkStart w:id="828" w:name="_Toc9305"/>
      <w:bookmarkStart w:id="829" w:name="_Toc25799"/>
      <w:bookmarkStart w:id="830" w:name="_Toc6994"/>
      <w:r>
        <w:rPr>
          <w:rFonts w:hint="eastAsia" w:ascii="Arial" w:hAnsi="Arial" w:eastAsia="宋体" w:cs="Times New Roman"/>
          <w:lang w:val="en-US" w:eastAsia="zh-CN"/>
        </w:rPr>
        <w:t>（三）教学资源</w:t>
      </w:r>
      <w:bookmarkEnd w:id="828"/>
      <w:bookmarkEnd w:id="829"/>
      <w:bookmarkEnd w:id="830"/>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rPr>
        <w:t>校企合作进行了工学结合核心课程开发，凸显教学过程的实践性、开放性与职业性，着力开展信息化教学资源开发建设与应用工作，取得了一定的成效。目前，建设了校内在线课程平台—泛雅教育平台、实训管理平台、在线练习考试平台三个平台的建设，改变了传统的教学、评价管理模式，用信息技术提高了教学水平。专业参与国家职业教育工程造价专业资源库建设，主持《建筑工程BIM土建计量》课程子项目资源建设，2门省级精品课程，3门省级精品在线开放课程，实现了资源共享，丰富的教学资源为实施线上线下混合教学提供了实施保证。</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rFonts w:cs="宋体"/>
          <w:color w:val="000000"/>
          <w:szCs w:val="21"/>
        </w:rPr>
      </w:pPr>
      <w:r>
        <w:rPr>
          <w:rFonts w:hint="eastAsia" w:cs="宋体"/>
          <w:color w:val="000000"/>
          <w:szCs w:val="21"/>
        </w:rPr>
        <w:t>图书馆现有本专业图书约为9万余本，订阅相关专业期刊30余种。工</w:t>
      </w:r>
      <w:r>
        <w:rPr>
          <w:rFonts w:hint="eastAsia" w:cs="宋体"/>
          <w:color w:val="000000"/>
          <w:szCs w:val="21"/>
          <w:lang w:val="en-US" w:eastAsia="zh-CN"/>
        </w:rPr>
        <w:t>程管理</w:t>
      </w:r>
      <w:r>
        <w:rPr>
          <w:rFonts w:hint="eastAsia" w:cs="宋体"/>
          <w:color w:val="000000"/>
          <w:szCs w:val="21"/>
        </w:rPr>
        <w:t>相关技术规范、技术书籍、概预算定额、计价标准、设计手册、图集等资料齐全，能够满足本专业的教学基本要求。</w:t>
      </w:r>
    </w:p>
    <w:p>
      <w:pPr>
        <w:pStyle w:val="3"/>
        <w:bidi w:val="0"/>
        <w:ind w:firstLine="880"/>
        <w:rPr>
          <w:rFonts w:hint="eastAsia" w:ascii="Arial" w:hAnsi="Arial" w:eastAsia="宋体" w:cs="Times New Roman"/>
          <w:lang w:val="en-US" w:eastAsia="zh-CN"/>
        </w:rPr>
      </w:pPr>
      <w:bookmarkStart w:id="831" w:name="_Toc10735"/>
      <w:bookmarkStart w:id="832" w:name="_Toc23853"/>
      <w:bookmarkStart w:id="833" w:name="_Toc22441"/>
      <w:r>
        <w:rPr>
          <w:rFonts w:hint="eastAsia" w:ascii="Arial" w:hAnsi="Arial" w:eastAsia="宋体" w:cs="Times New Roman"/>
          <w:lang w:val="en-US" w:eastAsia="zh-CN"/>
        </w:rPr>
        <w:t>（四）教学方法</w:t>
      </w:r>
      <w:bookmarkEnd w:id="831"/>
      <w:bookmarkEnd w:id="832"/>
      <w:bookmarkEnd w:id="833"/>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rPr>
        <w:t>根据课程特点，结合学生层次因材施教，灵活应用项目教学法、任务驱动教学法、小组合作讨论教学法、线上线下混合教学等实施教学。</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lang w:val="en-US" w:eastAsia="zh-CN"/>
        </w:rPr>
        <w:t>1.</w:t>
      </w:r>
      <w:r>
        <w:rPr>
          <w:rFonts w:hint="eastAsia"/>
          <w:kern w:val="2"/>
        </w:rPr>
        <w:t>项目教学法。引入实际施工项目的图纸，结合实际项目进行教学。</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lang w:val="en-US" w:eastAsia="zh-CN"/>
        </w:rPr>
        <w:t>2.</w:t>
      </w:r>
      <w:r>
        <w:rPr>
          <w:rFonts w:hint="eastAsia"/>
          <w:kern w:val="2"/>
        </w:rPr>
        <w:t>任务驱动教学法。以完成工作任务为目标，让学生在完成工作任务的过程中学习课程相关理论知识，掌握工程管理职业技能，发展学生的综合</w:t>
      </w:r>
      <w:r>
        <w:fldChar w:fldCharType="begin"/>
      </w:r>
      <w:r>
        <w:instrText xml:space="preserve"> HYPERLINK "https://www.baidu.com/s?wd=%E8%81%8C%E4%B8%9A%E8%83%BD%E5%8A%9B&amp;tn=44039180_cpr&amp;fenlei=mv6quAkxTZn0IZRqIHckPjm4nH00T1YdryRYuyn1rHwhnAfvm10d0ZwV5Hcvrjm3rH6sPfKWUMw85HfYnjn4nH6sgvPsT6KdThsqpZwYTjCEQLGCpyw9Uz4Bmy-bIi4WUvYETgN-TLwGUv3EnWfkrHf1Pj0k" \t "_blank" </w:instrText>
      </w:r>
      <w:r>
        <w:fldChar w:fldCharType="separate"/>
      </w:r>
      <w:r>
        <w:rPr>
          <w:rFonts w:hint="eastAsia"/>
          <w:kern w:val="2"/>
        </w:rPr>
        <w:t>职业素养</w:t>
      </w:r>
      <w:r>
        <w:rPr>
          <w:rFonts w:hint="eastAsia"/>
          <w:kern w:val="2"/>
        </w:rPr>
        <w:fldChar w:fldCharType="end"/>
      </w:r>
      <w:r>
        <w:rPr>
          <w:rFonts w:hint="eastAsia"/>
          <w:kern w:val="2"/>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lang w:val="en-US" w:eastAsia="zh-CN"/>
        </w:rPr>
        <w:t>3.</w:t>
      </w:r>
      <w:r>
        <w:rPr>
          <w:rFonts w:hint="eastAsia"/>
          <w:kern w:val="2"/>
        </w:rPr>
        <w:t>分组讨论合作学习。组建学生学习小组，采用小组合作方式进行，引入企业协同元素、竞争性，培养学生团结协作、相互配合等社会能力。</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lang w:val="en-US" w:eastAsia="zh-CN"/>
        </w:rPr>
        <w:t>4.</w:t>
      </w:r>
      <w:r>
        <w:rPr>
          <w:rFonts w:hint="eastAsia"/>
          <w:kern w:val="2"/>
        </w:rPr>
        <w:t>充分利用课程信息化资源，部分课时实施混合式教学，以学生为主体，充分利用课前时间，教师课堂答疑解惑，从而达到更好的课堂效果。</w:t>
      </w:r>
    </w:p>
    <w:p>
      <w:pPr>
        <w:pStyle w:val="3"/>
        <w:bidi w:val="0"/>
        <w:ind w:firstLine="880"/>
        <w:rPr>
          <w:rFonts w:hint="eastAsia" w:ascii="Arial" w:hAnsi="Arial" w:eastAsia="宋体" w:cs="Times New Roman"/>
          <w:lang w:val="en-US" w:eastAsia="zh-CN"/>
        </w:rPr>
      </w:pPr>
      <w:bookmarkStart w:id="834" w:name="_Toc6672"/>
      <w:bookmarkStart w:id="835" w:name="_Toc15770"/>
      <w:bookmarkStart w:id="836" w:name="_Toc29475"/>
      <w:r>
        <w:rPr>
          <w:rFonts w:hint="eastAsia" w:ascii="Arial" w:hAnsi="Arial" w:eastAsia="宋体" w:cs="Times New Roman"/>
          <w:lang w:val="en-US" w:eastAsia="zh-CN"/>
        </w:rPr>
        <w:t>（五）学习评价</w:t>
      </w:r>
      <w:bookmarkEnd w:id="834"/>
      <w:bookmarkEnd w:id="835"/>
      <w:bookmarkEnd w:id="836"/>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szCs w:val="21"/>
        </w:rPr>
      </w:pPr>
      <w:r>
        <w:rPr>
          <w:rFonts w:hint="eastAsia"/>
          <w:kern w:val="10"/>
        </w:rPr>
        <w:t>注重平时、淡化期末，</w:t>
      </w:r>
      <w:r>
        <w:rPr>
          <w:rFonts w:hint="eastAsia"/>
          <w:kern w:val="2"/>
        </w:rPr>
        <w:t>专业课建议</w:t>
      </w:r>
      <w:r>
        <w:rPr>
          <w:rFonts w:hint="eastAsia"/>
          <w:szCs w:val="21"/>
        </w:rPr>
        <w:t>采用过程评价和终结评价相结合、线上和线下评价相结合的考核方式，注重学生实操能力的培养，线上评价可以根据视频观看进度，观看时做的笔记、评价、测验方面考核，线下主要根据学生的课堂表现、课堂教学互动、课内实践成果质量等方面进行评价。</w:t>
      </w:r>
    </w:p>
    <w:p>
      <w:pPr>
        <w:pStyle w:val="3"/>
        <w:bidi w:val="0"/>
        <w:ind w:firstLine="880"/>
        <w:rPr>
          <w:rFonts w:hint="eastAsia" w:ascii="Arial" w:hAnsi="Arial" w:eastAsia="宋体" w:cs="Times New Roman"/>
          <w:lang w:val="en-US" w:eastAsia="zh-CN"/>
        </w:rPr>
      </w:pPr>
      <w:bookmarkStart w:id="837" w:name="_Toc14899"/>
      <w:bookmarkStart w:id="838" w:name="_Toc18216"/>
      <w:bookmarkStart w:id="839" w:name="_Toc24225"/>
      <w:r>
        <w:rPr>
          <w:rFonts w:hint="eastAsia" w:ascii="Arial" w:hAnsi="Arial" w:eastAsia="宋体" w:cs="Times New Roman"/>
          <w:lang w:val="en-US" w:eastAsia="zh-CN"/>
        </w:rPr>
        <w:t>（六）质量管理</w:t>
      </w:r>
      <w:bookmarkEnd w:id="837"/>
      <w:bookmarkEnd w:id="838"/>
      <w:bookmarkEnd w:id="839"/>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0" w:firstLineChars="200"/>
        <w:jc w:val="both"/>
        <w:textAlignment w:val="auto"/>
        <w:rPr>
          <w:kern w:val="10"/>
        </w:rPr>
      </w:pPr>
      <w:r>
        <w:rPr>
          <w:rFonts w:hint="eastAsia"/>
          <w:kern w:val="10"/>
          <w:lang w:val="en-US" w:eastAsia="zh-CN"/>
        </w:rPr>
        <w:t>1.</w:t>
      </w:r>
      <w:r>
        <w:rPr>
          <w:kern w:val="10"/>
        </w:rPr>
        <w:t>建立全程质量监控体系</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0" w:firstLineChars="200"/>
        <w:jc w:val="both"/>
        <w:textAlignment w:val="auto"/>
        <w:rPr>
          <w:kern w:val="10"/>
        </w:rPr>
      </w:pPr>
      <w:r>
        <w:rPr>
          <w:kern w:val="10"/>
        </w:rPr>
        <w:t>制定科学的专业人才培养方案，制定专业核心课程的教学标准，制定专业技能实践考核标准，明确专业实践、毕业实习要求。细化包括教学准备、课堂教学、课后作业、实验实践和考核考试等教学环节的质量要求和标准，形成一套完整的教学质量评价和监控指标体系。通过教学实施、过程监控、质量评价和持续改进，实现人才培养目标。</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0" w:firstLineChars="200"/>
        <w:jc w:val="both"/>
        <w:textAlignment w:val="auto"/>
        <w:rPr>
          <w:kern w:val="10"/>
        </w:rPr>
      </w:pPr>
      <w:r>
        <w:rPr>
          <w:rFonts w:hint="eastAsia"/>
          <w:kern w:val="10"/>
          <w:lang w:val="en-US" w:eastAsia="zh-CN"/>
        </w:rPr>
        <w:t>2.</w:t>
      </w:r>
      <w:r>
        <w:rPr>
          <w:kern w:val="10"/>
        </w:rPr>
        <w:t>建立毕业生跟踪反馈机制</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0" w:firstLineChars="200"/>
        <w:jc w:val="both"/>
        <w:textAlignment w:val="auto"/>
        <w:rPr>
          <w:kern w:val="10"/>
        </w:rPr>
      </w:pPr>
      <w:r>
        <w:rPr>
          <w:kern w:val="10"/>
        </w:rPr>
        <w:t>开展一年一度的毕业生调研，了解毕业生就业状况、就业岗位、薪酬水平等情况，了解用人单位对毕业生职业能力的评价和建议，获取企业职业岗位对知识、技能、素质方面的要求，评价人才培养质量和培养目标达成度。</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0" w:firstLineChars="200"/>
        <w:jc w:val="both"/>
        <w:textAlignment w:val="auto"/>
        <w:rPr>
          <w:kern w:val="10"/>
        </w:rPr>
      </w:pPr>
      <w:r>
        <w:rPr>
          <w:rFonts w:hint="eastAsia"/>
          <w:kern w:val="10"/>
          <w:lang w:val="en-US" w:eastAsia="zh-CN"/>
        </w:rPr>
        <w:t>3.</w:t>
      </w:r>
      <w:r>
        <w:rPr>
          <w:kern w:val="10"/>
        </w:rPr>
        <w:t>建立持续改进工作机制</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0" w:firstLineChars="200"/>
        <w:jc w:val="both"/>
        <w:textAlignment w:val="auto"/>
        <w:rPr>
          <w:kern w:val="10"/>
        </w:rPr>
      </w:pPr>
      <w:r>
        <w:rPr>
          <w:kern w:val="10"/>
        </w:rPr>
        <w:t>根据毕业生反馈和社会评价结果进行科学甄别、筛选、分类、分析，针对培养目标、培养模式、培养方案、课程体系、课堂教学、第二课堂、实习实训等方面进行分析，充分利用评价分析结果调整人才培养方案，有效改进专业教学，加强专业建设，促进人才培养质量的持续提升。</w:t>
      </w:r>
    </w:p>
    <w:p>
      <w:pPr>
        <w:keepNext w:val="0"/>
        <w:keepLines w:val="0"/>
        <w:pageBreakBefore w:val="0"/>
        <w:numPr>
          <w:numId w:val="0"/>
        </w:numPr>
        <w:kinsoku/>
        <w:wordWrap/>
        <w:overflowPunct/>
        <w:topLinePunct w:val="0"/>
        <w:autoSpaceDE/>
        <w:autoSpaceDN/>
        <w:bidi w:val="0"/>
        <w:spacing w:line="240" w:lineRule="auto"/>
        <w:ind w:left="0" w:leftChars="0"/>
        <w:textAlignment w:val="auto"/>
        <w:rPr>
          <w:rFonts w:ascii="宋体" w:hAnsi="宋体"/>
          <w:kern w:val="10"/>
          <w:sz w:val="24"/>
        </w:rPr>
      </w:pPr>
      <w:r>
        <w:rPr>
          <w:rFonts w:hint="eastAsia" w:ascii="宋体" w:hAnsi="宋体"/>
          <w:kern w:val="10"/>
          <w:sz w:val="24"/>
          <w:lang w:val="en-US" w:eastAsia="zh-CN"/>
        </w:rPr>
        <w:t>4.</w:t>
      </w:r>
      <w:r>
        <w:rPr>
          <w:rFonts w:hint="eastAsia" w:ascii="宋体" w:hAnsi="宋体"/>
          <w:kern w:val="10"/>
          <w:sz w:val="24"/>
        </w:rPr>
        <w:t>推进“1+X证书制度”有机融合</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0" w:firstLineChars="200"/>
        <w:jc w:val="both"/>
        <w:textAlignment w:val="auto"/>
        <w:rPr>
          <w:kern w:val="10"/>
        </w:rPr>
      </w:pPr>
      <w:r>
        <w:rPr>
          <w:rFonts w:hint="eastAsia"/>
          <w:kern w:val="10"/>
        </w:rPr>
        <w:t>选用全国BIM技能等级证书作为本专业学生考取的“1+X”证书中的X证书。在第二学期开设了《</w:t>
      </w:r>
      <w:r>
        <w:rPr>
          <w:kern w:val="10"/>
        </w:rPr>
        <w:t>Revit</w:t>
      </w:r>
      <w:r>
        <w:rPr>
          <w:rFonts w:hint="eastAsia"/>
          <w:kern w:val="10"/>
        </w:rPr>
        <w:t>建模》课程，为学生考取BIM证书，做好基础软件铺垫工作，在《</w:t>
      </w:r>
      <w:r>
        <w:rPr>
          <w:rFonts w:hint="eastAsia"/>
          <w:kern w:val="10"/>
          <w:lang w:eastAsia="zh-CN"/>
        </w:rPr>
        <w:t>建筑工程BIM造价软件应用</w:t>
      </w:r>
      <w:r>
        <w:rPr>
          <w:rFonts w:hint="eastAsia"/>
          <w:kern w:val="10"/>
        </w:rPr>
        <w:t>》《BIM5D项目应用与分析》《</w:t>
      </w:r>
      <w:r>
        <w:rPr>
          <w:rFonts w:hint="eastAsia"/>
          <w:kern w:val="10"/>
          <w:lang w:eastAsia="zh-CN"/>
        </w:rPr>
        <w:t>建筑施工组织设计与管理</w:t>
      </w:r>
      <w:r>
        <w:rPr>
          <w:rFonts w:hint="eastAsia"/>
          <w:kern w:val="10"/>
        </w:rPr>
        <w:t>》等课程里融合BIM证书内容，实现“1+X”证书与专业教学过程一体化。</w:t>
      </w:r>
    </w:p>
    <w:p>
      <w:pPr>
        <w:pStyle w:val="2"/>
        <w:bidi w:val="0"/>
        <w:rPr>
          <w:rFonts w:hint="eastAsia" w:ascii="Times New Roman" w:hAnsi="Times New Roman" w:cs="Times New Roman"/>
          <w:b w:val="0"/>
          <w:lang w:val="en-US" w:eastAsia="zh-CN"/>
        </w:rPr>
      </w:pPr>
      <w:bookmarkStart w:id="840" w:name="_Toc28326"/>
      <w:bookmarkStart w:id="841" w:name="_Toc21231"/>
      <w:bookmarkStart w:id="842" w:name="_Toc12053"/>
      <w:r>
        <w:rPr>
          <w:rFonts w:hint="eastAsia" w:ascii="Times New Roman" w:hAnsi="Times New Roman" w:cs="Times New Roman"/>
          <w:b w:val="0"/>
          <w:lang w:val="en-US" w:eastAsia="zh-CN"/>
        </w:rPr>
        <w:t>九、毕业要求</w:t>
      </w:r>
      <w:bookmarkEnd w:id="840"/>
      <w:bookmarkEnd w:id="841"/>
      <w:bookmarkEnd w:id="842"/>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firstLine="482" w:firstLineChars="201"/>
        <w:jc w:val="both"/>
        <w:textAlignment w:val="auto"/>
        <w:rPr>
          <w:kern w:val="2"/>
        </w:rPr>
      </w:pPr>
      <w:r>
        <w:rPr>
          <w:rFonts w:hint="eastAsia"/>
          <w:kern w:val="2"/>
        </w:rPr>
        <w:t>在修业年限内，修完人才培养方案规定的课程及完成各个教学环节，成绩合格并获得相应学分，方准予毕业。</w:t>
      </w:r>
    </w:p>
    <w:p>
      <w:pPr>
        <w:pStyle w:val="2"/>
        <w:bidi w:val="0"/>
        <w:rPr>
          <w:rFonts w:hint="eastAsia" w:ascii="Times New Roman" w:hAnsi="Times New Roman" w:cs="Times New Roman"/>
          <w:b w:val="0"/>
          <w:lang w:val="en-US" w:eastAsia="zh-CN"/>
        </w:rPr>
      </w:pPr>
      <w:bookmarkStart w:id="843" w:name="_Toc8042"/>
      <w:bookmarkStart w:id="844" w:name="_Toc31610"/>
      <w:bookmarkStart w:id="845" w:name="_Toc24289"/>
      <w:r>
        <w:rPr>
          <w:rFonts w:hint="eastAsia" w:ascii="Times New Roman" w:hAnsi="Times New Roman" w:cs="Times New Roman"/>
          <w:b w:val="0"/>
          <w:lang w:val="en-US" w:eastAsia="zh-CN"/>
        </w:rPr>
        <w:t>十、附录</w:t>
      </w:r>
      <w:bookmarkEnd w:id="843"/>
      <w:bookmarkEnd w:id="844"/>
      <w:bookmarkEnd w:id="845"/>
    </w:p>
    <w:p>
      <w:pPr>
        <w:jc w:val="center"/>
        <w:rPr>
          <w:rFonts w:ascii="宋体" w:hAnsi="宋体" w:cs="宋体"/>
          <w:b/>
          <w:bCs/>
          <w:sz w:val="24"/>
          <w:szCs w:val="24"/>
        </w:rPr>
      </w:pPr>
      <w:r>
        <w:rPr>
          <w:rFonts w:hint="eastAsia" w:ascii="宋体" w:hAnsi="宋体" w:cs="宋体"/>
          <w:b/>
          <w:bCs/>
          <w:sz w:val="24"/>
          <w:szCs w:val="24"/>
        </w:rPr>
        <w:t>表</w:t>
      </w:r>
      <w:r>
        <w:rPr>
          <w:rFonts w:hint="eastAsia" w:ascii="宋体" w:hAnsi="宋体" w:cs="宋体"/>
          <w:b/>
          <w:bCs/>
          <w:sz w:val="24"/>
          <w:szCs w:val="24"/>
          <w:lang w:val="en-US" w:eastAsia="zh-CN"/>
        </w:rPr>
        <w:t xml:space="preserve">8 </w:t>
      </w:r>
      <w:r>
        <w:rPr>
          <w:rFonts w:hint="eastAsia" w:ascii="宋体" w:hAnsi="宋体" w:cs="宋体"/>
          <w:b/>
          <w:bCs/>
          <w:sz w:val="24"/>
          <w:szCs w:val="24"/>
        </w:rPr>
        <w:t>本专业工作任务与职业能力分解表</w:t>
      </w:r>
    </w:p>
    <w:tbl>
      <w:tblPr>
        <w:tblStyle w:val="10"/>
        <w:tblpPr w:leftFromText="180" w:rightFromText="180" w:vertAnchor="text" w:horzAnchor="page" w:tblpXSpec="center" w:tblpY="500"/>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299"/>
        <w:gridCol w:w="1778"/>
        <w:gridCol w:w="1861"/>
        <w:gridCol w:w="136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0" w:type="pct"/>
            <w:vMerge w:val="restart"/>
            <w:vAlign w:val="center"/>
          </w:tcPr>
          <w:p>
            <w:pPr>
              <w:spacing w:line="0" w:lineRule="atLeast"/>
              <w:jc w:val="both"/>
              <w:rPr>
                <w:rFonts w:ascii="宋体" w:hAnsi="宋体" w:cs="宋体"/>
                <w:b/>
                <w:bCs/>
                <w:szCs w:val="21"/>
              </w:rPr>
            </w:pPr>
            <w:r>
              <w:rPr>
                <w:rFonts w:hint="eastAsia" w:ascii="宋体" w:hAnsi="宋体" w:cs="宋体"/>
                <w:b/>
                <w:bCs/>
                <w:szCs w:val="21"/>
              </w:rPr>
              <w:t>岗位名称及性质</w:t>
            </w:r>
          </w:p>
        </w:tc>
        <w:tc>
          <w:tcPr>
            <w:tcW w:w="762" w:type="pct"/>
            <w:vMerge w:val="restart"/>
            <w:vAlign w:val="center"/>
          </w:tcPr>
          <w:p>
            <w:pPr>
              <w:spacing w:line="0" w:lineRule="atLeast"/>
              <w:jc w:val="center"/>
              <w:rPr>
                <w:rFonts w:ascii="宋体" w:hAnsi="宋体" w:cs="宋体"/>
                <w:b/>
                <w:bCs/>
                <w:szCs w:val="21"/>
              </w:rPr>
            </w:pPr>
            <w:r>
              <w:rPr>
                <w:rFonts w:hint="eastAsia" w:ascii="宋体" w:hAnsi="宋体" w:cs="宋体"/>
                <w:b/>
                <w:bCs/>
                <w:szCs w:val="21"/>
              </w:rPr>
              <w:t>典型工作任务</w:t>
            </w:r>
          </w:p>
        </w:tc>
        <w:tc>
          <w:tcPr>
            <w:tcW w:w="2937" w:type="pct"/>
            <w:gridSpan w:val="3"/>
            <w:vAlign w:val="center"/>
          </w:tcPr>
          <w:p>
            <w:pPr>
              <w:spacing w:line="0" w:lineRule="atLeast"/>
              <w:jc w:val="center"/>
              <w:rPr>
                <w:rFonts w:ascii="宋体" w:hAnsi="宋体" w:cs="宋体"/>
                <w:b/>
                <w:bCs/>
                <w:szCs w:val="21"/>
              </w:rPr>
            </w:pPr>
            <w:r>
              <w:rPr>
                <w:rFonts w:hint="eastAsia" w:ascii="宋体" w:hAnsi="宋体" w:cs="宋体"/>
                <w:b/>
                <w:bCs/>
                <w:szCs w:val="21"/>
              </w:rPr>
              <w:t>要求</w:t>
            </w:r>
          </w:p>
        </w:tc>
        <w:tc>
          <w:tcPr>
            <w:tcW w:w="739" w:type="pct"/>
            <w:vMerge w:val="restart"/>
            <w:vAlign w:val="center"/>
          </w:tcPr>
          <w:p>
            <w:pPr>
              <w:spacing w:line="0" w:lineRule="atLeast"/>
              <w:jc w:val="center"/>
              <w:rPr>
                <w:rFonts w:ascii="宋体" w:hAnsi="宋体" w:cs="宋体"/>
                <w:b/>
                <w:bCs/>
                <w:szCs w:val="21"/>
              </w:rPr>
            </w:pPr>
            <w:r>
              <w:rPr>
                <w:rFonts w:hint="eastAsia" w:ascii="宋体" w:hAnsi="宋体" w:cs="宋体"/>
                <w:b/>
                <w:bCs/>
                <w:szCs w:val="21"/>
              </w:rPr>
              <w:t>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pct"/>
            <w:vMerge w:val="continue"/>
            <w:vAlign w:val="center"/>
          </w:tcPr>
          <w:p>
            <w:pPr>
              <w:spacing w:line="0" w:lineRule="atLeast"/>
              <w:jc w:val="both"/>
              <w:rPr>
                <w:rFonts w:ascii="宋体" w:hAnsi="宋体" w:cs="宋体"/>
                <w:b/>
                <w:bCs/>
                <w:szCs w:val="21"/>
              </w:rPr>
            </w:pPr>
          </w:p>
        </w:tc>
        <w:tc>
          <w:tcPr>
            <w:tcW w:w="762" w:type="pct"/>
            <w:vMerge w:val="continue"/>
            <w:vAlign w:val="center"/>
          </w:tcPr>
          <w:p>
            <w:pPr>
              <w:spacing w:line="0" w:lineRule="atLeast"/>
              <w:jc w:val="center"/>
              <w:rPr>
                <w:rFonts w:ascii="宋体" w:hAnsi="宋体" w:cs="宋体"/>
                <w:b/>
                <w:bCs/>
                <w:szCs w:val="21"/>
              </w:rPr>
            </w:pPr>
          </w:p>
        </w:tc>
        <w:tc>
          <w:tcPr>
            <w:tcW w:w="1043" w:type="pct"/>
            <w:vAlign w:val="center"/>
          </w:tcPr>
          <w:p>
            <w:pPr>
              <w:spacing w:line="0" w:lineRule="atLeast"/>
              <w:jc w:val="center"/>
              <w:rPr>
                <w:rFonts w:ascii="宋体" w:hAnsi="宋体" w:cs="宋体"/>
                <w:b/>
                <w:bCs/>
                <w:szCs w:val="21"/>
              </w:rPr>
            </w:pPr>
            <w:r>
              <w:rPr>
                <w:rFonts w:hint="eastAsia" w:ascii="宋体" w:hAnsi="宋体" w:cs="宋体"/>
                <w:b/>
                <w:bCs/>
                <w:szCs w:val="21"/>
              </w:rPr>
              <w:t>知识要求</w:t>
            </w:r>
          </w:p>
        </w:tc>
        <w:tc>
          <w:tcPr>
            <w:tcW w:w="1092" w:type="pct"/>
            <w:vAlign w:val="center"/>
          </w:tcPr>
          <w:p>
            <w:pPr>
              <w:spacing w:line="0" w:lineRule="atLeast"/>
              <w:jc w:val="center"/>
              <w:rPr>
                <w:rFonts w:ascii="宋体" w:hAnsi="宋体" w:cs="宋体"/>
                <w:b/>
                <w:bCs/>
                <w:szCs w:val="21"/>
              </w:rPr>
            </w:pPr>
            <w:r>
              <w:rPr>
                <w:rFonts w:hint="eastAsia" w:ascii="宋体" w:hAnsi="宋体" w:cs="宋体"/>
                <w:b/>
                <w:bCs/>
                <w:szCs w:val="21"/>
              </w:rPr>
              <w:t>能力要求</w:t>
            </w:r>
          </w:p>
        </w:tc>
        <w:tc>
          <w:tcPr>
            <w:tcW w:w="800" w:type="pct"/>
            <w:vAlign w:val="center"/>
          </w:tcPr>
          <w:p>
            <w:pPr>
              <w:spacing w:line="0" w:lineRule="atLeast"/>
              <w:jc w:val="center"/>
              <w:rPr>
                <w:rFonts w:ascii="宋体" w:hAnsi="宋体" w:cs="宋体"/>
                <w:b/>
                <w:bCs/>
                <w:szCs w:val="21"/>
              </w:rPr>
            </w:pPr>
            <w:r>
              <w:rPr>
                <w:rFonts w:hint="eastAsia" w:ascii="宋体" w:hAnsi="宋体" w:cs="宋体"/>
                <w:b/>
                <w:bCs/>
                <w:szCs w:val="21"/>
              </w:rPr>
              <w:t>素养要求</w:t>
            </w:r>
          </w:p>
        </w:tc>
        <w:tc>
          <w:tcPr>
            <w:tcW w:w="739" w:type="pct"/>
            <w:vMerge w:val="continue"/>
            <w:vAlign w:val="center"/>
          </w:tcPr>
          <w:p>
            <w:pPr>
              <w:spacing w:line="0" w:lineRule="atLeast"/>
              <w:ind w:firstLine="422" w:firstLineChars="200"/>
              <w:jc w:val="both"/>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60" w:type="pct"/>
            <w:vMerge w:val="restart"/>
            <w:vAlign w:val="center"/>
          </w:tcPr>
          <w:p>
            <w:pPr>
              <w:snapToGrid w:val="0"/>
              <w:spacing w:line="240" w:lineRule="atLeast"/>
              <w:jc w:val="both"/>
              <w:rPr>
                <w:rFonts w:hint="eastAsia" w:ascii="宋体" w:hAnsi="宋体" w:eastAsia="宋体" w:cs="宋体"/>
                <w:szCs w:val="21"/>
                <w:lang w:val="en-US" w:eastAsia="zh-CN"/>
              </w:rPr>
            </w:pPr>
            <w:r>
              <w:rPr>
                <w:rFonts w:hint="eastAsia" w:ascii="宋体" w:hAnsi="宋体" w:eastAsia="宋体" w:cs="宋体"/>
                <w:szCs w:val="21"/>
                <w:lang w:val="en-US" w:eastAsia="zh-CN"/>
              </w:rPr>
              <w:t>土木建筑工程技术人员</w:t>
            </w:r>
          </w:p>
          <w:p>
            <w:pPr>
              <w:spacing w:line="240" w:lineRule="atLeast"/>
              <w:jc w:val="both"/>
              <w:rPr>
                <w:rFonts w:ascii="宋体" w:hAnsi="宋体" w:cs="宋体"/>
                <w:szCs w:val="21"/>
              </w:rPr>
            </w:pPr>
          </w:p>
        </w:tc>
        <w:tc>
          <w:tcPr>
            <w:tcW w:w="762" w:type="pct"/>
            <w:vAlign w:val="center"/>
          </w:tcPr>
          <w:p>
            <w:pPr>
              <w:snapToGrid w:val="0"/>
              <w:spacing w:line="240" w:lineRule="atLeast"/>
              <w:jc w:val="both"/>
              <w:rPr>
                <w:rFonts w:ascii="宋体" w:hAnsi="宋体" w:cs="宋体"/>
                <w:szCs w:val="21"/>
              </w:rPr>
            </w:pPr>
            <w:r>
              <w:rPr>
                <w:rFonts w:hint="eastAsia" w:ascii="宋体" w:hAnsi="宋体" w:cs="宋体"/>
                <w:szCs w:val="21"/>
              </w:rPr>
              <w:t>工程测量</w:t>
            </w:r>
          </w:p>
        </w:tc>
        <w:tc>
          <w:tcPr>
            <w:tcW w:w="1043" w:type="pct"/>
            <w:vAlign w:val="center"/>
          </w:tcPr>
          <w:p>
            <w:pPr>
              <w:snapToGrid w:val="0"/>
              <w:spacing w:line="240" w:lineRule="atLeast"/>
              <w:jc w:val="both"/>
              <w:rPr>
                <w:rFonts w:ascii="宋体" w:hAnsi="宋体" w:cs="宋体"/>
                <w:szCs w:val="21"/>
              </w:rPr>
            </w:pPr>
            <w:r>
              <w:rPr>
                <w:rFonts w:hint="eastAsia" w:ascii="宋体" w:hAnsi="宋体" w:cs="宋体"/>
                <w:szCs w:val="21"/>
              </w:rPr>
              <w:t>掌握利用水准仪、经纬仪、全站仪等工程测量仪器进行高程测设和点的平面位置测设及民用建筑施工测量等知识。</w:t>
            </w:r>
          </w:p>
        </w:tc>
        <w:tc>
          <w:tcPr>
            <w:tcW w:w="1092" w:type="pct"/>
            <w:vAlign w:val="center"/>
          </w:tcPr>
          <w:p>
            <w:pPr>
              <w:snapToGrid w:val="0"/>
              <w:spacing w:line="240" w:lineRule="atLeast"/>
              <w:jc w:val="both"/>
              <w:rPr>
                <w:rFonts w:ascii="宋体" w:hAnsi="宋体" w:cs="宋体"/>
                <w:szCs w:val="21"/>
              </w:rPr>
            </w:pPr>
            <w:r>
              <w:rPr>
                <w:rFonts w:hint="eastAsia" w:ascii="宋体" w:hAnsi="宋体" w:cs="宋体"/>
                <w:szCs w:val="21"/>
              </w:rPr>
              <w:t>熟练操作常用测量仪器；会进行工程项目施工测量业务处理的能力。</w:t>
            </w:r>
          </w:p>
        </w:tc>
        <w:tc>
          <w:tcPr>
            <w:tcW w:w="800" w:type="pct"/>
            <w:vAlign w:val="center"/>
          </w:tcPr>
          <w:p>
            <w:pPr>
              <w:snapToGrid w:val="0"/>
              <w:spacing w:line="240" w:lineRule="atLeast"/>
              <w:jc w:val="both"/>
              <w:rPr>
                <w:rFonts w:ascii="宋体" w:hAnsi="宋体" w:cs="宋体"/>
                <w:szCs w:val="21"/>
              </w:rPr>
            </w:pPr>
            <w:r>
              <w:rPr>
                <w:rFonts w:hint="eastAsia" w:ascii="宋体" w:hAnsi="宋体" w:cs="宋体"/>
                <w:szCs w:val="21"/>
              </w:rPr>
              <w:t>严谨的工作作风，认真负责，有条理，较强的沟通协调、团队合作能力。</w:t>
            </w:r>
          </w:p>
        </w:tc>
        <w:tc>
          <w:tcPr>
            <w:tcW w:w="739" w:type="pct"/>
            <w:vAlign w:val="center"/>
          </w:tcPr>
          <w:p>
            <w:pPr>
              <w:tabs>
                <w:tab w:val="left" w:pos="2590"/>
              </w:tabs>
              <w:spacing w:line="240" w:lineRule="atLeast"/>
              <w:jc w:val="center"/>
              <w:rPr>
                <w:rFonts w:ascii="宋体" w:hAnsi="宋体" w:cs="宋体"/>
                <w:szCs w:val="21"/>
              </w:rPr>
            </w:pPr>
            <w:r>
              <w:rPr>
                <w:rFonts w:hint="eastAsia" w:ascii="宋体" w:hAnsi="宋体" w:cs="宋体"/>
                <w:szCs w:val="21"/>
              </w:rPr>
              <w:t>工程测量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560" w:type="pct"/>
            <w:vMerge w:val="continue"/>
            <w:vAlign w:val="center"/>
          </w:tcPr>
          <w:p>
            <w:pPr>
              <w:tabs>
                <w:tab w:val="left" w:pos="2590"/>
              </w:tabs>
              <w:spacing w:line="240" w:lineRule="atLeast"/>
              <w:jc w:val="both"/>
              <w:rPr>
                <w:rFonts w:ascii="宋体" w:hAnsi="宋体" w:cs="宋体"/>
                <w:szCs w:val="21"/>
              </w:rPr>
            </w:pPr>
          </w:p>
        </w:tc>
        <w:tc>
          <w:tcPr>
            <w:tcW w:w="762" w:type="pct"/>
            <w:vAlign w:val="center"/>
          </w:tcPr>
          <w:p>
            <w:pPr>
              <w:spacing w:line="240" w:lineRule="atLeast"/>
              <w:jc w:val="both"/>
              <w:rPr>
                <w:rFonts w:ascii="宋体" w:hAnsi="宋体" w:cs="宋体"/>
                <w:szCs w:val="21"/>
              </w:rPr>
            </w:pPr>
            <w:r>
              <w:rPr>
                <w:rFonts w:hint="eastAsia" w:ascii="宋体" w:hAnsi="宋体" w:cs="宋体"/>
                <w:szCs w:val="21"/>
              </w:rPr>
              <w:t>施工组织与协调</w:t>
            </w:r>
          </w:p>
        </w:tc>
        <w:tc>
          <w:tcPr>
            <w:tcW w:w="1043" w:type="pct"/>
            <w:vMerge w:val="restart"/>
            <w:vAlign w:val="center"/>
          </w:tcPr>
          <w:p>
            <w:pPr>
              <w:snapToGrid w:val="0"/>
              <w:spacing w:line="240" w:lineRule="atLeast"/>
              <w:jc w:val="both"/>
              <w:rPr>
                <w:rFonts w:ascii="宋体" w:hAnsi="宋体" w:cs="宋体"/>
                <w:szCs w:val="21"/>
              </w:rPr>
            </w:pPr>
            <w:r>
              <w:rPr>
                <w:rFonts w:hint="eastAsia" w:ascii="宋体" w:hAnsi="宋体" w:cs="宋体"/>
                <w:szCs w:val="21"/>
              </w:rPr>
              <w:t>熟悉国家工程建设相关法律法规；熟悉常用工程材料的基本知识；掌握施工图识图、绘制的基本知识；熟悉建筑工程施工工艺和方法；掌握建筑工程项目管理的基本知识；掌握计算机和相关资料信息管理软件的应用知识；掌握建筑工程质量的管控、施工进度计划的编制与优化、工程项目安全的管控等知识；了解工程项目资料编制与整理。</w:t>
            </w:r>
          </w:p>
        </w:tc>
        <w:tc>
          <w:tcPr>
            <w:tcW w:w="1092" w:type="pct"/>
            <w:vAlign w:val="center"/>
          </w:tcPr>
          <w:p>
            <w:pPr>
              <w:snapToGrid w:val="0"/>
              <w:spacing w:line="240" w:lineRule="atLeast"/>
              <w:jc w:val="both"/>
              <w:rPr>
                <w:rFonts w:ascii="宋体" w:hAnsi="宋体" w:cs="宋体"/>
                <w:szCs w:val="21"/>
              </w:rPr>
            </w:pPr>
            <w:r>
              <w:rPr>
                <w:rFonts w:hint="eastAsia" w:ascii="宋体" w:hAnsi="宋体" w:cs="宋体"/>
                <w:szCs w:val="21"/>
              </w:rPr>
              <w:t>会合理安排施工现场人员施工，协调各方关系；会指导施工现场施工；能够督促施工人员工程按照质量要求施工；会利用所学知识解决常见工程项目质量、安全、进度、成本等方面问题的能力。</w:t>
            </w:r>
          </w:p>
        </w:tc>
        <w:tc>
          <w:tcPr>
            <w:tcW w:w="800" w:type="pct"/>
            <w:vMerge w:val="restart"/>
            <w:vAlign w:val="center"/>
          </w:tcPr>
          <w:p>
            <w:pPr>
              <w:snapToGrid w:val="0"/>
              <w:spacing w:line="240" w:lineRule="atLeast"/>
              <w:jc w:val="both"/>
              <w:rPr>
                <w:rFonts w:ascii="宋体" w:hAnsi="宋体" w:cs="宋体"/>
                <w:szCs w:val="21"/>
              </w:rPr>
            </w:pPr>
            <w:r>
              <w:rPr>
                <w:rFonts w:hint="eastAsia" w:ascii="宋体" w:hAnsi="宋体" w:cs="宋体"/>
                <w:szCs w:val="21"/>
              </w:rPr>
              <w:t>具有吃苦耐劳、坚守岗位、主动工作、精益求精、敬业创新的现代鲁班工匠精神；具有良好的从业安全意识、质量意识和环保意识； 良好的工程组织协调能力；具有良好的自我管理与约束能力；具有健康的体魄、健康的心理和乐观的人生态度；诚实守信，团结协作；遵守相关法律法规、标准和管理规定；具有终生学习理念及严谨务实工作作风。</w:t>
            </w:r>
          </w:p>
        </w:tc>
        <w:tc>
          <w:tcPr>
            <w:tcW w:w="739" w:type="pct"/>
            <w:vAlign w:val="center"/>
          </w:tcPr>
          <w:p>
            <w:pPr>
              <w:tabs>
                <w:tab w:val="left" w:pos="2590"/>
              </w:tabs>
              <w:spacing w:line="240" w:lineRule="atLeast"/>
              <w:jc w:val="both"/>
              <w:rPr>
                <w:rFonts w:ascii="宋体" w:hAnsi="宋体" w:cs="宋体"/>
                <w:szCs w:val="21"/>
              </w:rPr>
            </w:pPr>
            <w:r>
              <w:rPr>
                <w:rFonts w:hint="eastAsia" w:ascii="宋体" w:hAnsi="宋体" w:cs="宋体"/>
                <w:szCs w:val="21"/>
              </w:rPr>
              <w:t>建筑工程项目识图、建筑施工工艺、工程建设法规与合同管理、建设工程项目管理、</w:t>
            </w:r>
            <w:r>
              <w:rPr>
                <w:rFonts w:hint="eastAsia" w:ascii="宋体" w:hAnsi="宋体" w:cs="宋体"/>
                <w:szCs w:val="21"/>
                <w:lang w:eastAsia="zh-CN"/>
              </w:rPr>
              <w:t>建筑施工组织设计与管理</w:t>
            </w:r>
            <w:r>
              <w:rPr>
                <w:rFonts w:hint="eastAsia" w:ascii="宋体" w:hAnsi="宋体" w:cs="宋体"/>
                <w:szCs w:val="21"/>
              </w:rPr>
              <w:t>、建设工程管理综合实训、企业实践、职业素养教育、顶岗实习、毕业设计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60" w:type="pct"/>
            <w:vMerge w:val="continue"/>
            <w:vAlign w:val="center"/>
          </w:tcPr>
          <w:p>
            <w:pPr>
              <w:tabs>
                <w:tab w:val="left" w:pos="2590"/>
              </w:tabs>
              <w:spacing w:line="240" w:lineRule="atLeast"/>
              <w:jc w:val="both"/>
              <w:rPr>
                <w:rFonts w:ascii="宋体" w:hAnsi="宋体" w:cs="宋体"/>
                <w:szCs w:val="21"/>
              </w:rPr>
            </w:pPr>
          </w:p>
        </w:tc>
        <w:tc>
          <w:tcPr>
            <w:tcW w:w="762" w:type="pct"/>
            <w:vAlign w:val="center"/>
          </w:tcPr>
          <w:p>
            <w:pPr>
              <w:spacing w:line="240" w:lineRule="atLeast"/>
              <w:jc w:val="both"/>
              <w:rPr>
                <w:rFonts w:ascii="宋体" w:hAnsi="宋体" w:cs="宋体"/>
                <w:szCs w:val="21"/>
              </w:rPr>
            </w:pPr>
            <w:r>
              <w:rPr>
                <w:rFonts w:hint="eastAsia" w:ascii="宋体" w:hAnsi="宋体" w:cs="宋体"/>
                <w:szCs w:val="21"/>
              </w:rPr>
              <w:t>质量管理；</w:t>
            </w:r>
          </w:p>
          <w:p>
            <w:pPr>
              <w:spacing w:line="240" w:lineRule="atLeast"/>
              <w:jc w:val="both"/>
              <w:rPr>
                <w:rFonts w:ascii="宋体" w:hAnsi="宋体" w:cs="宋体"/>
                <w:szCs w:val="21"/>
              </w:rPr>
            </w:pPr>
            <w:r>
              <w:rPr>
                <w:rFonts w:hint="eastAsia" w:ascii="宋体" w:hAnsi="宋体" w:cs="宋体"/>
                <w:szCs w:val="21"/>
              </w:rPr>
              <w:t>安全管理</w:t>
            </w:r>
          </w:p>
        </w:tc>
        <w:tc>
          <w:tcPr>
            <w:tcW w:w="1043" w:type="pct"/>
            <w:vMerge w:val="continue"/>
            <w:vAlign w:val="center"/>
          </w:tcPr>
          <w:p>
            <w:pPr>
              <w:tabs>
                <w:tab w:val="left" w:pos="2590"/>
              </w:tabs>
              <w:spacing w:line="240" w:lineRule="atLeast"/>
              <w:jc w:val="both"/>
              <w:rPr>
                <w:rFonts w:ascii="宋体" w:hAnsi="宋体" w:cs="宋体"/>
                <w:szCs w:val="21"/>
              </w:rPr>
            </w:pPr>
          </w:p>
        </w:tc>
        <w:tc>
          <w:tcPr>
            <w:tcW w:w="1092" w:type="pct"/>
            <w:vAlign w:val="center"/>
          </w:tcPr>
          <w:p>
            <w:pPr>
              <w:tabs>
                <w:tab w:val="left" w:pos="2590"/>
              </w:tabs>
              <w:spacing w:line="240" w:lineRule="atLeast"/>
              <w:jc w:val="both"/>
              <w:rPr>
                <w:rFonts w:ascii="宋体" w:hAnsi="宋体" w:cs="宋体"/>
                <w:szCs w:val="21"/>
              </w:rPr>
            </w:pPr>
            <w:r>
              <w:rPr>
                <w:rFonts w:hint="eastAsia" w:ascii="宋体" w:hAnsi="宋体" w:cs="宋体"/>
                <w:szCs w:val="21"/>
              </w:rPr>
              <w:t>能够编制施工组织设计文件，各分部分项工程施工方案；会制定安全计划及保障措施并落实。</w:t>
            </w:r>
          </w:p>
        </w:tc>
        <w:tc>
          <w:tcPr>
            <w:tcW w:w="800" w:type="pct"/>
            <w:vMerge w:val="continue"/>
            <w:vAlign w:val="center"/>
          </w:tcPr>
          <w:p>
            <w:pPr>
              <w:pStyle w:val="9"/>
              <w:adjustRightInd w:val="0"/>
              <w:snapToGrid w:val="0"/>
              <w:spacing w:before="0" w:beforeAutospacing="0" w:after="0" w:afterAutospacing="0" w:line="0" w:lineRule="atLeast"/>
              <w:jc w:val="both"/>
              <w:rPr>
                <w:rFonts w:cs="宋体"/>
                <w:sz w:val="21"/>
                <w:szCs w:val="21"/>
              </w:rPr>
            </w:pPr>
          </w:p>
        </w:tc>
        <w:tc>
          <w:tcPr>
            <w:tcW w:w="739" w:type="pct"/>
            <w:vAlign w:val="center"/>
          </w:tcPr>
          <w:p>
            <w:pPr>
              <w:tabs>
                <w:tab w:val="left" w:pos="2590"/>
              </w:tabs>
              <w:spacing w:line="240" w:lineRule="atLeast"/>
              <w:jc w:val="both"/>
              <w:rPr>
                <w:rFonts w:ascii="宋体" w:hAnsi="宋体" w:cs="宋体"/>
                <w:szCs w:val="21"/>
              </w:rPr>
            </w:pPr>
            <w:r>
              <w:rPr>
                <w:rFonts w:hint="eastAsia" w:ascii="宋体" w:hAnsi="宋体" w:cs="宋体"/>
                <w:szCs w:val="21"/>
              </w:rPr>
              <w:t>建设工程项目管理、</w:t>
            </w:r>
            <w:r>
              <w:rPr>
                <w:rFonts w:hint="eastAsia" w:ascii="宋体" w:hAnsi="宋体" w:cs="宋体"/>
                <w:szCs w:val="21"/>
                <w:lang w:eastAsia="zh-CN"/>
              </w:rPr>
              <w:t>建筑施工组织设计与管理</w:t>
            </w:r>
            <w:r>
              <w:rPr>
                <w:rFonts w:hint="eastAsia" w:ascii="宋体" w:hAnsi="宋体" w:cs="宋体"/>
                <w:szCs w:val="21"/>
              </w:rPr>
              <w:t xml:space="preserve">、工程建设法规与合同管理、建筑材料、建筑施工工艺、装配式建筑施工工艺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60" w:type="pct"/>
            <w:vMerge w:val="continue"/>
            <w:vAlign w:val="center"/>
          </w:tcPr>
          <w:p>
            <w:pPr>
              <w:tabs>
                <w:tab w:val="left" w:pos="2590"/>
              </w:tabs>
              <w:spacing w:line="240" w:lineRule="atLeast"/>
              <w:jc w:val="both"/>
              <w:rPr>
                <w:rFonts w:ascii="宋体" w:hAnsi="宋体" w:cs="宋体"/>
                <w:szCs w:val="21"/>
              </w:rPr>
            </w:pPr>
          </w:p>
        </w:tc>
        <w:tc>
          <w:tcPr>
            <w:tcW w:w="762" w:type="pct"/>
            <w:vAlign w:val="center"/>
          </w:tcPr>
          <w:p>
            <w:pPr>
              <w:spacing w:line="240" w:lineRule="atLeast"/>
              <w:jc w:val="both"/>
              <w:rPr>
                <w:rFonts w:ascii="宋体" w:hAnsi="宋体" w:cs="宋体"/>
                <w:szCs w:val="21"/>
              </w:rPr>
            </w:pPr>
            <w:r>
              <w:rPr>
                <w:rFonts w:hint="eastAsia" w:ascii="宋体" w:hAnsi="宋体" w:cs="宋体"/>
                <w:szCs w:val="21"/>
              </w:rPr>
              <w:t>成本管理；</w:t>
            </w:r>
          </w:p>
          <w:p>
            <w:pPr>
              <w:spacing w:line="240" w:lineRule="atLeast"/>
              <w:jc w:val="both"/>
              <w:rPr>
                <w:rFonts w:ascii="宋体" w:hAnsi="宋体" w:cs="宋体"/>
                <w:szCs w:val="21"/>
              </w:rPr>
            </w:pPr>
            <w:r>
              <w:rPr>
                <w:rFonts w:hint="eastAsia" w:ascii="宋体" w:hAnsi="宋体" w:cs="宋体"/>
                <w:szCs w:val="21"/>
              </w:rPr>
              <w:t>进度管理</w:t>
            </w:r>
          </w:p>
        </w:tc>
        <w:tc>
          <w:tcPr>
            <w:tcW w:w="1043" w:type="pct"/>
            <w:vMerge w:val="continue"/>
            <w:vAlign w:val="center"/>
          </w:tcPr>
          <w:p>
            <w:pPr>
              <w:pStyle w:val="9"/>
              <w:adjustRightInd w:val="0"/>
              <w:snapToGrid w:val="0"/>
              <w:spacing w:before="0" w:beforeAutospacing="0" w:after="0" w:afterAutospacing="0" w:line="0" w:lineRule="atLeast"/>
              <w:jc w:val="both"/>
              <w:rPr>
                <w:rFonts w:cs="宋体"/>
                <w:sz w:val="21"/>
                <w:szCs w:val="21"/>
              </w:rPr>
            </w:pPr>
          </w:p>
        </w:tc>
        <w:tc>
          <w:tcPr>
            <w:tcW w:w="1092" w:type="pct"/>
            <w:vAlign w:val="center"/>
          </w:tcPr>
          <w:p>
            <w:pPr>
              <w:tabs>
                <w:tab w:val="left" w:pos="2590"/>
              </w:tabs>
              <w:spacing w:line="240" w:lineRule="atLeast"/>
              <w:jc w:val="both"/>
              <w:rPr>
                <w:rFonts w:ascii="宋体" w:hAnsi="宋体" w:cs="宋体"/>
                <w:szCs w:val="21"/>
              </w:rPr>
            </w:pPr>
            <w:r>
              <w:rPr>
                <w:rFonts w:hint="eastAsia" w:ascii="宋体" w:hAnsi="宋体" w:cs="宋体"/>
                <w:szCs w:val="21"/>
              </w:rPr>
              <w:t>能够计算各分部分项工程量及造价并严格控制；会编制并优化施工进度计划。</w:t>
            </w:r>
          </w:p>
        </w:tc>
        <w:tc>
          <w:tcPr>
            <w:tcW w:w="800" w:type="pct"/>
            <w:vMerge w:val="continue"/>
            <w:vAlign w:val="center"/>
          </w:tcPr>
          <w:p>
            <w:pPr>
              <w:pStyle w:val="9"/>
              <w:adjustRightInd w:val="0"/>
              <w:snapToGrid w:val="0"/>
              <w:spacing w:before="0" w:beforeAutospacing="0" w:after="0" w:afterAutospacing="0" w:line="0" w:lineRule="atLeast"/>
              <w:jc w:val="both"/>
              <w:rPr>
                <w:rFonts w:cs="宋体"/>
                <w:sz w:val="21"/>
                <w:szCs w:val="21"/>
              </w:rPr>
            </w:pPr>
          </w:p>
        </w:tc>
        <w:tc>
          <w:tcPr>
            <w:tcW w:w="739" w:type="pct"/>
            <w:vAlign w:val="center"/>
          </w:tcPr>
          <w:p>
            <w:pPr>
              <w:tabs>
                <w:tab w:val="left" w:pos="2590"/>
              </w:tabs>
              <w:spacing w:line="240" w:lineRule="atLeast"/>
              <w:jc w:val="both"/>
              <w:rPr>
                <w:rFonts w:hint="eastAsia" w:ascii="宋体" w:hAnsi="宋体" w:eastAsia="宋体" w:cs="宋体"/>
                <w:szCs w:val="21"/>
                <w:lang w:eastAsia="zh-CN"/>
              </w:rPr>
            </w:pPr>
            <w:r>
              <w:rPr>
                <w:rFonts w:hint="eastAsia" w:ascii="宋体" w:hAnsi="宋体" w:cs="宋体"/>
                <w:szCs w:val="21"/>
              </w:rPr>
              <w:t>建设工程项目管理、</w:t>
            </w:r>
            <w:r>
              <w:rPr>
                <w:rFonts w:hint="eastAsia" w:ascii="宋体" w:hAnsi="宋体" w:cs="宋体"/>
                <w:szCs w:val="21"/>
                <w:lang w:eastAsia="zh-CN"/>
              </w:rPr>
              <w:t>建筑施工组织设计与管理</w:t>
            </w:r>
            <w:r>
              <w:rPr>
                <w:rFonts w:hint="eastAsia" w:ascii="宋体" w:hAnsi="宋体" w:cs="宋体"/>
                <w:szCs w:val="21"/>
              </w:rPr>
              <w:t>、建设工程经济、</w:t>
            </w:r>
            <w:r>
              <w:rPr>
                <w:rFonts w:hint="eastAsia" w:ascii="宋体" w:hAnsi="宋体" w:cs="宋体"/>
                <w:szCs w:val="21"/>
                <w:lang w:eastAsia="zh-CN"/>
              </w:rPr>
              <w:t>建筑工程计量与计价实务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60" w:type="pct"/>
            <w:vMerge w:val="continue"/>
            <w:vAlign w:val="center"/>
          </w:tcPr>
          <w:p>
            <w:pPr>
              <w:tabs>
                <w:tab w:val="left" w:pos="2590"/>
              </w:tabs>
              <w:spacing w:line="240" w:lineRule="atLeast"/>
              <w:jc w:val="both"/>
              <w:rPr>
                <w:rFonts w:ascii="宋体" w:hAnsi="宋体" w:cs="宋体"/>
                <w:szCs w:val="21"/>
              </w:rPr>
            </w:pPr>
          </w:p>
        </w:tc>
        <w:tc>
          <w:tcPr>
            <w:tcW w:w="762" w:type="pct"/>
            <w:vAlign w:val="center"/>
          </w:tcPr>
          <w:p>
            <w:pPr>
              <w:spacing w:line="240" w:lineRule="atLeast"/>
              <w:jc w:val="both"/>
              <w:rPr>
                <w:rFonts w:ascii="宋体" w:hAnsi="宋体" w:cs="宋体"/>
                <w:szCs w:val="21"/>
              </w:rPr>
            </w:pPr>
            <w:r>
              <w:rPr>
                <w:rFonts w:hint="eastAsia" w:ascii="宋体" w:hAnsi="宋体" w:cs="宋体"/>
                <w:szCs w:val="21"/>
              </w:rPr>
              <w:t>施工信息资料管理</w:t>
            </w:r>
          </w:p>
        </w:tc>
        <w:tc>
          <w:tcPr>
            <w:tcW w:w="1043" w:type="pct"/>
            <w:vMerge w:val="continue"/>
            <w:vAlign w:val="center"/>
          </w:tcPr>
          <w:p>
            <w:pPr>
              <w:pStyle w:val="9"/>
              <w:adjustRightInd w:val="0"/>
              <w:snapToGrid w:val="0"/>
              <w:spacing w:before="0" w:beforeAutospacing="0" w:after="0" w:afterAutospacing="0" w:line="0" w:lineRule="atLeast"/>
              <w:jc w:val="both"/>
              <w:rPr>
                <w:rFonts w:cs="宋体"/>
                <w:sz w:val="21"/>
                <w:szCs w:val="21"/>
              </w:rPr>
            </w:pPr>
          </w:p>
        </w:tc>
        <w:tc>
          <w:tcPr>
            <w:tcW w:w="1092" w:type="pct"/>
            <w:vAlign w:val="center"/>
          </w:tcPr>
          <w:p>
            <w:pPr>
              <w:tabs>
                <w:tab w:val="left" w:pos="2590"/>
              </w:tabs>
              <w:spacing w:line="240" w:lineRule="atLeast"/>
              <w:jc w:val="both"/>
              <w:rPr>
                <w:rFonts w:ascii="宋体" w:hAnsi="宋体" w:cs="宋体"/>
                <w:szCs w:val="21"/>
              </w:rPr>
            </w:pPr>
            <w:r>
              <w:rPr>
                <w:rFonts w:hint="eastAsia" w:ascii="宋体" w:hAnsi="宋体" w:cs="宋体"/>
                <w:szCs w:val="21"/>
              </w:rPr>
              <w:t>及时掌握施工现场信息并做好管理；会编制并整理工程项目资料。</w:t>
            </w:r>
          </w:p>
        </w:tc>
        <w:tc>
          <w:tcPr>
            <w:tcW w:w="800" w:type="pct"/>
            <w:vMerge w:val="continue"/>
            <w:vAlign w:val="center"/>
          </w:tcPr>
          <w:p>
            <w:pPr>
              <w:pStyle w:val="9"/>
              <w:adjustRightInd w:val="0"/>
              <w:snapToGrid w:val="0"/>
              <w:spacing w:before="0" w:beforeAutospacing="0" w:after="0" w:afterAutospacing="0" w:line="0" w:lineRule="atLeast"/>
              <w:jc w:val="both"/>
              <w:rPr>
                <w:rFonts w:cs="宋体"/>
                <w:sz w:val="21"/>
                <w:szCs w:val="21"/>
              </w:rPr>
            </w:pPr>
          </w:p>
        </w:tc>
        <w:tc>
          <w:tcPr>
            <w:tcW w:w="739" w:type="pct"/>
            <w:vAlign w:val="center"/>
          </w:tcPr>
          <w:p>
            <w:pPr>
              <w:tabs>
                <w:tab w:val="left" w:pos="2590"/>
              </w:tabs>
              <w:spacing w:line="240" w:lineRule="atLeast"/>
              <w:jc w:val="both"/>
              <w:rPr>
                <w:rFonts w:ascii="宋体" w:hAnsi="宋体" w:cs="宋体"/>
                <w:szCs w:val="21"/>
              </w:rPr>
            </w:pPr>
            <w:r>
              <w:rPr>
                <w:rFonts w:hint="eastAsia" w:ascii="宋体" w:hAnsi="宋体" w:cs="宋体"/>
                <w:szCs w:val="21"/>
                <w:lang w:eastAsia="zh-CN"/>
              </w:rPr>
              <w:t>建筑工程技术资料管理</w:t>
            </w:r>
            <w:r>
              <w:rPr>
                <w:rFonts w:hint="eastAsia" w:ascii="宋体" w:hAnsi="宋体" w:cs="宋体"/>
                <w:szCs w:val="21"/>
              </w:rPr>
              <w:t>、工程建设法规与合同管理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0" w:type="pct"/>
            <w:vAlign w:val="center"/>
          </w:tcPr>
          <w:p>
            <w:pPr>
              <w:tabs>
                <w:tab w:val="left" w:pos="2590"/>
              </w:tabs>
              <w:spacing w:line="240" w:lineRule="atLeast"/>
              <w:jc w:val="both"/>
              <w:rPr>
                <w:rFonts w:hint="eastAsia" w:ascii="宋体" w:hAnsi="宋体" w:eastAsia="宋体" w:cs="宋体"/>
                <w:szCs w:val="21"/>
                <w:lang w:val="en-US" w:eastAsia="zh-CN"/>
              </w:rPr>
            </w:pPr>
            <w:r>
              <w:rPr>
                <w:rFonts w:hint="eastAsia" w:ascii="宋体" w:hAnsi="宋体" w:cs="宋体"/>
                <w:szCs w:val="21"/>
              </w:rPr>
              <w:t>造价</w:t>
            </w:r>
            <w:r>
              <w:rPr>
                <w:rFonts w:hint="eastAsia" w:ascii="宋体" w:hAnsi="宋体" w:cs="宋体"/>
                <w:szCs w:val="21"/>
                <w:lang w:val="en-US" w:eastAsia="zh-CN"/>
              </w:rPr>
              <w:t>咨询</w:t>
            </w:r>
          </w:p>
        </w:tc>
        <w:tc>
          <w:tcPr>
            <w:tcW w:w="762" w:type="pct"/>
            <w:vAlign w:val="center"/>
          </w:tcPr>
          <w:p>
            <w:pPr>
              <w:tabs>
                <w:tab w:val="left" w:pos="2590"/>
              </w:tabs>
              <w:spacing w:line="240" w:lineRule="atLeast"/>
              <w:jc w:val="both"/>
              <w:rPr>
                <w:rFonts w:ascii="宋体" w:hAnsi="宋体" w:cs="宋体"/>
                <w:szCs w:val="21"/>
              </w:rPr>
            </w:pPr>
            <w:r>
              <w:rPr>
                <w:rFonts w:hint="eastAsia" w:ascii="宋体" w:hAnsi="宋体" w:cs="宋体"/>
                <w:szCs w:val="21"/>
              </w:rPr>
              <w:t>编制预结算文件；</w:t>
            </w:r>
          </w:p>
          <w:p>
            <w:pPr>
              <w:tabs>
                <w:tab w:val="left" w:pos="2590"/>
              </w:tabs>
              <w:spacing w:line="240" w:lineRule="atLeast"/>
              <w:jc w:val="both"/>
              <w:rPr>
                <w:rFonts w:ascii="宋体" w:hAnsi="宋体" w:cs="宋体"/>
                <w:szCs w:val="21"/>
              </w:rPr>
            </w:pPr>
            <w:r>
              <w:rPr>
                <w:rFonts w:hint="eastAsia" w:ascii="宋体" w:hAnsi="宋体" w:cs="宋体"/>
                <w:szCs w:val="21"/>
              </w:rPr>
              <w:t>编制招投标文件；</w:t>
            </w:r>
          </w:p>
          <w:p>
            <w:pPr>
              <w:tabs>
                <w:tab w:val="left" w:pos="2590"/>
              </w:tabs>
              <w:spacing w:line="240" w:lineRule="atLeast"/>
              <w:jc w:val="both"/>
              <w:rPr>
                <w:rFonts w:ascii="宋体" w:hAnsi="宋体" w:cs="宋体"/>
                <w:szCs w:val="21"/>
              </w:rPr>
            </w:pPr>
            <w:r>
              <w:rPr>
                <w:rFonts w:hint="eastAsia" w:ascii="宋体" w:hAnsi="宋体" w:cs="宋体"/>
                <w:szCs w:val="21"/>
              </w:rPr>
              <w:t>建设项目各阶段的工程造价控制与管理；</w:t>
            </w:r>
          </w:p>
          <w:p>
            <w:pPr>
              <w:tabs>
                <w:tab w:val="left" w:pos="2590"/>
              </w:tabs>
              <w:spacing w:line="240" w:lineRule="atLeast"/>
              <w:jc w:val="both"/>
              <w:rPr>
                <w:rFonts w:ascii="宋体" w:hAnsi="宋体" w:cs="宋体"/>
                <w:szCs w:val="21"/>
              </w:rPr>
            </w:pPr>
            <w:r>
              <w:rPr>
                <w:rFonts w:hint="eastAsia" w:ascii="宋体" w:hAnsi="宋体" w:cs="宋体"/>
                <w:szCs w:val="21"/>
              </w:rPr>
              <w:t>进行合同分析，实施合同控制，处理和解决施工中出现的索赔与变更</w:t>
            </w:r>
          </w:p>
        </w:tc>
        <w:tc>
          <w:tcPr>
            <w:tcW w:w="1043"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熟悉工程造价基本理论知识；掌握工程造价费用的构成、计价程序及计价规则；掌握建筑、安装、工程各分部分项工程项目的计量与计价的知识；熟悉建筑法、招标投标法相关规定；了解招投标的程序及相关工作内容、施工招投标文件的编制方法；建设工程施工合同管理及索赔管理的主要内容；掌握招投标阶段标底价和投标报价的确定和控制方法；掌握施工阶段填写现场签证表、施工签证联系单、现场签证计算书；掌握工程价款结算方式及计算。</w:t>
            </w:r>
          </w:p>
        </w:tc>
        <w:tc>
          <w:tcPr>
            <w:tcW w:w="1092"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能熟练计算建筑、安装工程的工程量；能结合地区市场价及工程实际确定单价；能根据现行计价程序及计价规则确定工程造价；具有编制招标文件、编制标底的能力；通过解读招标文件编制投标文件，应用报价策略调整确定投标报价的能力；具有编审工程概预算、招标工程标底、投标报价和对标书进行分析、评定的能力；具有编制工程结算，处理简单造价纠纷和索赔的能力。</w:t>
            </w:r>
          </w:p>
        </w:tc>
        <w:tc>
          <w:tcPr>
            <w:tcW w:w="800"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具有查找有用信息，学习新知识的方法，逻辑解决问题的能力；具备造价从业人员应有的法制道德观念，诚实守信、遵纪守法、实事求是的优良作风，一丝不苟、科学严谨的工作态度，吃苦耐劳、团结协作、善于沟通的职业素质；具有较强的事业心和高度的责任心，具有认真、负责，严谨、踏实的工作态度；有全过程成本管控的理念，成本效益意识、精打细算、较强的沟通协调、团队合作能力。</w:t>
            </w:r>
          </w:p>
        </w:tc>
        <w:tc>
          <w:tcPr>
            <w:tcW w:w="739"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建筑工程项目识图、结构识图及平法应用、识图及钢筋计量实训、建筑材料、建筑施工工艺、</w:t>
            </w:r>
            <w:r>
              <w:rPr>
                <w:rFonts w:hint="eastAsia" w:cs="宋体"/>
                <w:sz w:val="21"/>
                <w:szCs w:val="21"/>
                <w:lang w:eastAsia="zh-CN"/>
              </w:rPr>
              <w:t>建筑工程计量与计价实务</w:t>
            </w:r>
            <w:r>
              <w:rPr>
                <w:rFonts w:hint="eastAsia" w:cs="宋体"/>
                <w:sz w:val="21"/>
                <w:szCs w:val="21"/>
              </w:rPr>
              <w:t>、市政工程计量与计价、</w:t>
            </w:r>
            <w:r>
              <w:rPr>
                <w:rFonts w:hint="eastAsia" w:cs="宋体"/>
                <w:sz w:val="21"/>
                <w:szCs w:val="21"/>
                <w:lang w:eastAsia="zh-CN"/>
              </w:rPr>
              <w:t>建筑装饰工程计量与计价</w:t>
            </w:r>
            <w:r>
              <w:rPr>
                <w:rFonts w:hint="eastAsia" w:cs="宋体"/>
                <w:sz w:val="21"/>
                <w:szCs w:val="21"/>
              </w:rPr>
              <w:t>、</w:t>
            </w:r>
            <w:r>
              <w:rPr>
                <w:rFonts w:hint="eastAsia" w:cs="宋体"/>
                <w:sz w:val="21"/>
                <w:szCs w:val="21"/>
                <w:lang w:eastAsia="zh-CN"/>
              </w:rPr>
              <w:t>建筑工程BIM造价软件应用</w:t>
            </w:r>
            <w:r>
              <w:rPr>
                <w:rFonts w:hint="eastAsia" w:cs="宋体"/>
                <w:sz w:val="21"/>
                <w:szCs w:val="21"/>
              </w:rPr>
              <w:t>、BIM5D项目应用与分析、企业实践、顶岗实习、毕业设计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560" w:type="pct"/>
            <w:vAlign w:val="center"/>
          </w:tcPr>
          <w:p>
            <w:pPr>
              <w:spacing w:line="0" w:lineRule="atLeast"/>
              <w:jc w:val="both"/>
              <w:rPr>
                <w:rFonts w:ascii="宋体" w:hAnsi="宋体" w:cs="宋体"/>
                <w:szCs w:val="21"/>
              </w:rPr>
            </w:pPr>
            <w:r>
              <w:rPr>
                <w:rFonts w:hint="eastAsia" w:ascii="宋体" w:hAnsi="宋体" w:cs="宋体"/>
                <w:szCs w:val="21"/>
              </w:rPr>
              <w:t>BIM建模工程师</w:t>
            </w:r>
          </w:p>
        </w:tc>
        <w:tc>
          <w:tcPr>
            <w:tcW w:w="762"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建立及维护工程项目土建、钢筋、安装BIM模型或钢结构工程BIM模型；</w:t>
            </w:r>
          </w:p>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建立与维护场地模型；</w:t>
            </w:r>
          </w:p>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参与使用BIM软件完成工程项目从方案到施工图阶段的设计工作；</w:t>
            </w:r>
          </w:p>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参与指导应用BIM辅助施工与管理</w:t>
            </w:r>
          </w:p>
        </w:tc>
        <w:tc>
          <w:tcPr>
            <w:tcW w:w="1043"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熟悉建立及维护工程项目土建、钢筋、安装BIM模型或钢结构工程BIM模型；掌握BIM模型进行管线综合、施工图纸输出、报告编制等工作；掌握BIM软件从方案到施工图阶段的设计工作；熟悉应用BIM辅助施工与管理。</w:t>
            </w:r>
          </w:p>
        </w:tc>
        <w:tc>
          <w:tcPr>
            <w:tcW w:w="1092" w:type="pct"/>
            <w:vAlign w:val="center"/>
          </w:tcPr>
          <w:p>
            <w:pPr>
              <w:spacing w:line="0" w:lineRule="atLeast"/>
              <w:jc w:val="both"/>
              <w:rPr>
                <w:rFonts w:ascii="宋体" w:hAnsi="宋体" w:cs="宋体"/>
                <w:kern w:val="0"/>
                <w:szCs w:val="21"/>
              </w:rPr>
            </w:pPr>
            <w:r>
              <w:rPr>
                <w:rFonts w:hint="eastAsia" w:ascii="宋体" w:hAnsi="宋体" w:cs="宋体"/>
                <w:szCs w:val="21"/>
              </w:rPr>
              <w:t>根据项目的需求建立与维护土建、钢筋、安装、钢结构、场地等BIM相关模型的能力；能够利用BIM模型进行管线综合、施工图纸输出、报告编制等工作；应用BIM技术能够参与工程项目设计工作；配合项目需求指导利用BIM辅助施工及管理</w:t>
            </w:r>
            <w:r>
              <w:rPr>
                <w:rFonts w:hint="eastAsia" w:ascii="宋体" w:hAnsi="宋体" w:cs="宋体"/>
                <w:kern w:val="0"/>
                <w:szCs w:val="21"/>
              </w:rPr>
              <w:t>；开创性开展工作，善于积累创业资本。</w:t>
            </w:r>
          </w:p>
        </w:tc>
        <w:tc>
          <w:tcPr>
            <w:tcW w:w="800"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具备BIM建模师细致严谨的工作态度；具有良好的沟通、协调能力；具有良好的自我管理与约束能力、具有健康的体魄、健康的心理和乐观的人生态度；具有诚实守信，爱岗敬业，遵守相关法律法规、标准和管理规定的意识。</w:t>
            </w:r>
          </w:p>
        </w:tc>
        <w:tc>
          <w:tcPr>
            <w:tcW w:w="739" w:type="pct"/>
            <w:vAlign w:val="center"/>
          </w:tcPr>
          <w:p>
            <w:pPr>
              <w:pStyle w:val="9"/>
              <w:adjustRightInd w:val="0"/>
              <w:snapToGrid w:val="0"/>
              <w:spacing w:before="0" w:beforeAutospacing="0" w:after="0" w:afterAutospacing="0" w:line="0" w:lineRule="atLeast"/>
              <w:jc w:val="both"/>
              <w:rPr>
                <w:rFonts w:cs="宋体"/>
                <w:sz w:val="21"/>
                <w:szCs w:val="21"/>
              </w:rPr>
            </w:pPr>
            <w:r>
              <w:rPr>
                <w:rFonts w:hint="eastAsia" w:cs="宋体"/>
                <w:sz w:val="21"/>
                <w:szCs w:val="21"/>
              </w:rPr>
              <w:t>建筑工程项目识图、结构识图及平法应用、建筑施工工艺、建筑CAD、Revit建模、企业实践、职业素养教育、顶岗实习、毕业设计</w:t>
            </w:r>
          </w:p>
        </w:tc>
      </w:tr>
    </w:tbl>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FzBookMaker3DlFont30536873720">
    <w:altName w:val="AMGDT"/>
    <w:panose1 w:val="00000000000000000000"/>
    <w:charset w:val="00"/>
    <w:family w:val="auto"/>
    <w:pitch w:val="default"/>
    <w:sig w:usb0="00000000" w:usb1="00000000" w:usb2="00000000" w:usb3="00000000" w:csb0="00000000" w:csb1="00000000"/>
  </w:font>
  <w:font w:name="FzBookMaker4DlFont40536873721">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jc w:val="center"/>
      <w:rPr>
        <w:rFonts w:ascii="宋体" w:hAnsi="宋体"/>
      </w:rPr>
    </w:pPr>
    <w:r>
      <w:rPr>
        <w:rFonts w:hint="eastAsia" w:ascii="宋体" w:hAnsi="宋体"/>
      </w:rPr>
      <w:t>浙江广厦建设职业技术大学</w:t>
    </w:r>
    <w:r>
      <w:rPr>
        <w:rFonts w:ascii="宋体" w:hAnsi="宋体"/>
      </w:rPr>
      <w:t>20</w:t>
    </w:r>
    <w:r>
      <w:rPr>
        <w:rFonts w:hint="eastAsia" w:ascii="宋体" w:hAnsi="宋体"/>
      </w:rPr>
      <w:t>22级（建设工程管理专业）人才培养方案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31F50"/>
    <w:multiLevelType w:val="multilevel"/>
    <w:tmpl w:val="61331F50"/>
    <w:lvl w:ilvl="0" w:tentative="0">
      <w:start w:val="1"/>
      <w:numFmt w:val="chineseCountingThousand"/>
      <w:pStyle w:val="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jZDVkZmEyNDMxNjQ3YzM1NjY5NjdkZTRhYjNkYzEifQ=="/>
  </w:docVars>
  <w:rsids>
    <w:rsidRoot w:val="48D01F43"/>
    <w:rsid w:val="00005126"/>
    <w:rsid w:val="000627E8"/>
    <w:rsid w:val="00073EEC"/>
    <w:rsid w:val="0011223D"/>
    <w:rsid w:val="00116A77"/>
    <w:rsid w:val="00124613"/>
    <w:rsid w:val="0023445B"/>
    <w:rsid w:val="002736CA"/>
    <w:rsid w:val="002805C9"/>
    <w:rsid w:val="002A3478"/>
    <w:rsid w:val="002C2091"/>
    <w:rsid w:val="002F5F5C"/>
    <w:rsid w:val="00375FE8"/>
    <w:rsid w:val="0039799E"/>
    <w:rsid w:val="003F38E4"/>
    <w:rsid w:val="00450DF3"/>
    <w:rsid w:val="004539D1"/>
    <w:rsid w:val="005D4A36"/>
    <w:rsid w:val="00661709"/>
    <w:rsid w:val="006C3FEF"/>
    <w:rsid w:val="00741003"/>
    <w:rsid w:val="00742A50"/>
    <w:rsid w:val="00755444"/>
    <w:rsid w:val="00775261"/>
    <w:rsid w:val="007904EF"/>
    <w:rsid w:val="008408CC"/>
    <w:rsid w:val="008567DC"/>
    <w:rsid w:val="00901C64"/>
    <w:rsid w:val="0090489C"/>
    <w:rsid w:val="009163C3"/>
    <w:rsid w:val="00943CAA"/>
    <w:rsid w:val="00A027EA"/>
    <w:rsid w:val="00A0530A"/>
    <w:rsid w:val="00A372DB"/>
    <w:rsid w:val="00A86362"/>
    <w:rsid w:val="00AF438E"/>
    <w:rsid w:val="00B77E4F"/>
    <w:rsid w:val="00BB78C7"/>
    <w:rsid w:val="00BD2545"/>
    <w:rsid w:val="00C06F25"/>
    <w:rsid w:val="00C725FE"/>
    <w:rsid w:val="00CB2CCE"/>
    <w:rsid w:val="00D9708D"/>
    <w:rsid w:val="00E2763D"/>
    <w:rsid w:val="00E54096"/>
    <w:rsid w:val="00E80A5C"/>
    <w:rsid w:val="00ED4EBA"/>
    <w:rsid w:val="00EE27F1"/>
    <w:rsid w:val="00F55D8F"/>
    <w:rsid w:val="00F633C7"/>
    <w:rsid w:val="01D7593F"/>
    <w:rsid w:val="02CE59E2"/>
    <w:rsid w:val="031F1065"/>
    <w:rsid w:val="066A1827"/>
    <w:rsid w:val="07943000"/>
    <w:rsid w:val="08C01BD2"/>
    <w:rsid w:val="09165836"/>
    <w:rsid w:val="097F7821"/>
    <w:rsid w:val="0A794631"/>
    <w:rsid w:val="0B3428A7"/>
    <w:rsid w:val="0BBF1DEA"/>
    <w:rsid w:val="0CDD71F7"/>
    <w:rsid w:val="0D6220D5"/>
    <w:rsid w:val="0DEA45B5"/>
    <w:rsid w:val="0F0B48FD"/>
    <w:rsid w:val="0FBD114A"/>
    <w:rsid w:val="0FCF7645"/>
    <w:rsid w:val="10D96ED3"/>
    <w:rsid w:val="11D02E86"/>
    <w:rsid w:val="1404710D"/>
    <w:rsid w:val="14F9334A"/>
    <w:rsid w:val="170E0F55"/>
    <w:rsid w:val="172A329A"/>
    <w:rsid w:val="188B4AD5"/>
    <w:rsid w:val="19EA6AAF"/>
    <w:rsid w:val="1C1907A2"/>
    <w:rsid w:val="1DE24978"/>
    <w:rsid w:val="1F0C1276"/>
    <w:rsid w:val="1F5B5697"/>
    <w:rsid w:val="1FAA2668"/>
    <w:rsid w:val="211C60E8"/>
    <w:rsid w:val="21871688"/>
    <w:rsid w:val="21BE719F"/>
    <w:rsid w:val="21F84205"/>
    <w:rsid w:val="221A728F"/>
    <w:rsid w:val="221B014E"/>
    <w:rsid w:val="23360235"/>
    <w:rsid w:val="23867153"/>
    <w:rsid w:val="24CF4E99"/>
    <w:rsid w:val="27111305"/>
    <w:rsid w:val="27176988"/>
    <w:rsid w:val="28150AD0"/>
    <w:rsid w:val="284F2184"/>
    <w:rsid w:val="289418FC"/>
    <w:rsid w:val="28B0085E"/>
    <w:rsid w:val="2A901A6D"/>
    <w:rsid w:val="2C1A3224"/>
    <w:rsid w:val="2CCA2E9C"/>
    <w:rsid w:val="2CFE6C22"/>
    <w:rsid w:val="2D700C1E"/>
    <w:rsid w:val="2DD45655"/>
    <w:rsid w:val="2E3815EA"/>
    <w:rsid w:val="2EEF34D2"/>
    <w:rsid w:val="2F4D1B62"/>
    <w:rsid w:val="307B65DC"/>
    <w:rsid w:val="30A3568C"/>
    <w:rsid w:val="31346CA2"/>
    <w:rsid w:val="31B00A1E"/>
    <w:rsid w:val="32171FB4"/>
    <w:rsid w:val="32EB591A"/>
    <w:rsid w:val="33087F7A"/>
    <w:rsid w:val="33557238"/>
    <w:rsid w:val="343D34F3"/>
    <w:rsid w:val="35095109"/>
    <w:rsid w:val="357D4244"/>
    <w:rsid w:val="368A243A"/>
    <w:rsid w:val="36A927CB"/>
    <w:rsid w:val="36C26992"/>
    <w:rsid w:val="36CC03F3"/>
    <w:rsid w:val="37300E93"/>
    <w:rsid w:val="39C07D67"/>
    <w:rsid w:val="3B450FA6"/>
    <w:rsid w:val="3E565CBB"/>
    <w:rsid w:val="3E9E1A93"/>
    <w:rsid w:val="3FA55F3B"/>
    <w:rsid w:val="40C12ACE"/>
    <w:rsid w:val="430F11B1"/>
    <w:rsid w:val="461F0998"/>
    <w:rsid w:val="48D01F43"/>
    <w:rsid w:val="4AF225DA"/>
    <w:rsid w:val="4C0F5005"/>
    <w:rsid w:val="4C653E79"/>
    <w:rsid w:val="4CF65F8C"/>
    <w:rsid w:val="4CF81739"/>
    <w:rsid w:val="4EC86E27"/>
    <w:rsid w:val="4F8E202E"/>
    <w:rsid w:val="50583834"/>
    <w:rsid w:val="50C51101"/>
    <w:rsid w:val="510154E6"/>
    <w:rsid w:val="51F7602F"/>
    <w:rsid w:val="52E77226"/>
    <w:rsid w:val="532613B4"/>
    <w:rsid w:val="53670B95"/>
    <w:rsid w:val="545F186C"/>
    <w:rsid w:val="549E05E7"/>
    <w:rsid w:val="56777341"/>
    <w:rsid w:val="58AF0BCD"/>
    <w:rsid w:val="591E535C"/>
    <w:rsid w:val="593C2CDF"/>
    <w:rsid w:val="598E269D"/>
    <w:rsid w:val="598E5607"/>
    <w:rsid w:val="5C241D27"/>
    <w:rsid w:val="5C43197D"/>
    <w:rsid w:val="5CF80AB0"/>
    <w:rsid w:val="5D0272DC"/>
    <w:rsid w:val="5DBF0709"/>
    <w:rsid w:val="5E3E6996"/>
    <w:rsid w:val="5E48200F"/>
    <w:rsid w:val="60511905"/>
    <w:rsid w:val="60C96279"/>
    <w:rsid w:val="614044EB"/>
    <w:rsid w:val="640C3352"/>
    <w:rsid w:val="64C77D78"/>
    <w:rsid w:val="64CF1542"/>
    <w:rsid w:val="66216982"/>
    <w:rsid w:val="66331170"/>
    <w:rsid w:val="66377948"/>
    <w:rsid w:val="6740552D"/>
    <w:rsid w:val="676A212A"/>
    <w:rsid w:val="6A276531"/>
    <w:rsid w:val="6B581098"/>
    <w:rsid w:val="6BDF5472"/>
    <w:rsid w:val="6C7722F7"/>
    <w:rsid w:val="6C97436A"/>
    <w:rsid w:val="6CEA21C3"/>
    <w:rsid w:val="6D2408DD"/>
    <w:rsid w:val="6F4E637A"/>
    <w:rsid w:val="6FE07F59"/>
    <w:rsid w:val="7290243A"/>
    <w:rsid w:val="72EC0317"/>
    <w:rsid w:val="747A2D53"/>
    <w:rsid w:val="748C0004"/>
    <w:rsid w:val="759F0839"/>
    <w:rsid w:val="77D43FBF"/>
    <w:rsid w:val="7A9814B1"/>
    <w:rsid w:val="7CD51155"/>
    <w:rsid w:val="7EFD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spacing w:line="240" w:lineRule="auto"/>
      <w:jc w:val="left"/>
      <w:outlineLvl w:val="0"/>
    </w:pPr>
    <w:rPr>
      <w:rFonts w:eastAsia="黑体"/>
      <w:bCs/>
      <w:kern w:val="44"/>
      <w:sz w:val="24"/>
      <w:szCs w:val="44"/>
    </w:rPr>
  </w:style>
  <w:style w:type="paragraph" w:styleId="3">
    <w:name w:val="heading 2"/>
    <w:basedOn w:val="1"/>
    <w:next w:val="1"/>
    <w:unhideWhenUsed/>
    <w:qFormat/>
    <w:uiPriority w:val="0"/>
    <w:pPr>
      <w:keepNext/>
      <w:keepLines/>
      <w:spacing w:beforeLines="0" w:beforeAutospacing="0" w:afterLines="0" w:afterAutospacing="0" w:line="240" w:lineRule="auto"/>
      <w:ind w:firstLine="880" w:firstLineChars="200"/>
      <w:outlineLvl w:val="1"/>
    </w:pPr>
    <w:rPr>
      <w:rFonts w:ascii="Arial" w:hAnsi="Arial" w:eastAsia="宋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_Style 1"/>
    <w:basedOn w:val="1"/>
    <w:qFormat/>
    <w:uiPriority w:val="0"/>
    <w:pPr>
      <w:widowControl/>
      <w:spacing w:after="160" w:line="240" w:lineRule="exact"/>
      <w:jc w:val="left"/>
    </w:pPr>
    <w:rPr>
      <w:rFonts w:ascii="Verdana" w:hAnsi="Verdana"/>
      <w:kern w:val="0"/>
      <w:sz w:val="20"/>
      <w:szCs w:val="20"/>
      <w:lang w:eastAsia="en-US"/>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样式1"/>
    <w:basedOn w:val="1"/>
    <w:qFormat/>
    <w:uiPriority w:val="0"/>
    <w:pPr>
      <w:numPr>
        <w:ilvl w:val="0"/>
        <w:numId w:val="1"/>
      </w:numPr>
      <w:spacing w:before="120" w:beforeLines="50"/>
      <w:ind w:left="420" w:hanging="420" w:firstLineChars="0"/>
      <w:jc w:val="left"/>
      <w:outlineLvl w:val="0"/>
    </w:pPr>
    <w:rPr>
      <w:sz w:val="32"/>
      <w:szCs w:val="30"/>
    </w:rPr>
  </w:style>
  <w:style w:type="paragraph" w:customStyle="1" w:styleId="18">
    <w:name w:val="样式2"/>
    <w:basedOn w:val="4"/>
    <w:qFormat/>
    <w:uiPriority w:val="0"/>
    <w:pPr>
      <w:spacing w:before="50" w:beforeLines="50"/>
      <w:ind w:firstLine="200"/>
      <w:jc w:val="left"/>
      <w:outlineLvl w:val="1"/>
    </w:pPr>
    <w:rPr>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18415</Words>
  <Characters>19494</Characters>
  <Lines>141</Lines>
  <Paragraphs>39</Paragraphs>
  <TotalTime>1</TotalTime>
  <ScaleCrop>false</ScaleCrop>
  <LinksUpToDate>false</LinksUpToDate>
  <CharactersWithSpaces>28814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2021-06-10T07:31:00Z</dcterms:created>
  <dc:creator>Administrator</dc:creator>
  <cp:lastModifiedBy>芋艿</cp:lastModifiedBy>
  <cp:lastPrinted>2020-06-04T00:17:00Z</cp:lastPrinted>
  <dcterms:modified xsi:type="dcterms:W3CDTF">2023-06-04T13:40:25Z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468CB1EC0460463FB989E1172123CEF7</vt:lpwstr>
  </property>
</Properties>
</file>